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1BB83278" w:rsidR="00601170" w:rsidRDefault="00963419" w:rsidP="00963419">
      <w:pPr>
        <w:pStyle w:val="Body1"/>
        <w:tabs>
          <w:tab w:val="left" w:pos="5265"/>
        </w:tabs>
        <w:rPr>
          <w:rFonts w:ascii="Calibri" w:hAnsi="Calibri"/>
          <w:b/>
          <w:sz w:val="28"/>
          <w:szCs w:val="28"/>
        </w:rPr>
      </w:pPr>
      <w:r>
        <w:rPr>
          <w:rFonts w:ascii="Calibri" w:hAnsi="Calibri"/>
          <w:b/>
          <w:sz w:val="28"/>
          <w:szCs w:val="28"/>
        </w:rPr>
        <w:tab/>
      </w: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1C9CFBD1" w14:textId="77777777" w:rsidR="00A333AB" w:rsidRPr="00520E21" w:rsidRDefault="00A333AB"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475CE0E0" w14:textId="04ADA80F" w:rsidR="0007624D" w:rsidRDefault="008B41E8" w:rsidP="00A333AB">
      <w:pPr>
        <w:pStyle w:val="Heading1"/>
        <w:contextualSpacing/>
      </w:pPr>
      <w:r>
        <w:t>WHISTLEBLOWING</w:t>
      </w:r>
      <w:r w:rsidR="00973D8D" w:rsidRPr="00520E21">
        <w:t xml:space="preserve"> POLICY</w:t>
      </w:r>
    </w:p>
    <w:p w14:paraId="44468A36" w14:textId="77777777" w:rsidR="00A333AB" w:rsidRDefault="00A333AB" w:rsidP="00A333AB">
      <w:pPr>
        <w:spacing w:line="240" w:lineRule="auto"/>
        <w:contextualSpacing/>
        <w:jc w:val="center"/>
        <w:rPr>
          <w:lang w:eastAsia="en-GB"/>
        </w:rPr>
      </w:pPr>
    </w:p>
    <w:p w14:paraId="61311B06" w14:textId="622D1949" w:rsidR="00A333AB" w:rsidRPr="00A333AB" w:rsidRDefault="00DE20F9" w:rsidP="00A333AB">
      <w:pPr>
        <w:spacing w:line="240" w:lineRule="auto"/>
        <w:contextualSpacing/>
        <w:jc w:val="center"/>
        <w:rPr>
          <w:b/>
          <w:sz w:val="28"/>
          <w:szCs w:val="28"/>
          <w:lang w:eastAsia="en-GB"/>
        </w:rPr>
      </w:pPr>
      <w:r>
        <w:rPr>
          <w:b/>
          <w:sz w:val="28"/>
          <w:szCs w:val="28"/>
          <w:lang w:eastAsia="en-GB"/>
        </w:rPr>
        <w:t>201</w:t>
      </w:r>
      <w:r w:rsidR="008B41E8">
        <w:rPr>
          <w:b/>
          <w:sz w:val="28"/>
          <w:szCs w:val="28"/>
          <w:lang w:eastAsia="en-GB"/>
        </w:rPr>
        <w:t>6</w:t>
      </w:r>
    </w:p>
    <w:p w14:paraId="4D754F3A" w14:textId="77777777" w:rsidR="00A333AB" w:rsidRPr="00A333AB" w:rsidRDefault="00A333AB" w:rsidP="00A333AB">
      <w:pPr>
        <w:spacing w:line="240" w:lineRule="auto"/>
        <w:contextualSpacing/>
        <w:rPr>
          <w:sz w:val="16"/>
          <w:szCs w:val="16"/>
          <w:lang w:eastAsia="en-GB"/>
        </w:rPr>
      </w:pPr>
    </w:p>
    <w:p w14:paraId="1A8B9461" w14:textId="35E77D03" w:rsidR="00AE3D58" w:rsidRPr="00AE3D58" w:rsidRDefault="00AE3D58" w:rsidP="00A333AB">
      <w:pPr>
        <w:spacing w:line="240" w:lineRule="auto"/>
        <w:contextualSpacing/>
        <w:jc w:val="center"/>
        <w:rPr>
          <w:b/>
          <w:sz w:val="28"/>
          <w:szCs w:val="28"/>
        </w:rPr>
      </w:pPr>
      <w:r w:rsidRPr="00AE3D58">
        <w:rPr>
          <w:b/>
          <w:sz w:val="28"/>
          <w:szCs w:val="28"/>
        </w:rPr>
        <w:t xml:space="preserve">AUTHOR:  </w:t>
      </w:r>
      <w:r w:rsidR="00973D8D">
        <w:rPr>
          <w:b/>
          <w:sz w:val="28"/>
          <w:szCs w:val="28"/>
        </w:rPr>
        <w:t>MRS K TAGUE</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1385CD32" w14:textId="77777777" w:rsidR="0007624D" w:rsidRDefault="0007624D" w:rsidP="000E6C98">
      <w:pPr>
        <w:spacing w:after="0" w:line="240" w:lineRule="auto"/>
        <w:jc w:val="center"/>
        <w:outlineLvl w:val="0"/>
        <w:rPr>
          <w:rFonts w:ascii="Calibri" w:eastAsia="Arial Unicode MS" w:hAnsi="Calibri" w:cs="Times New Roman"/>
          <w:b/>
          <w:color w:val="000000"/>
          <w:sz w:val="28"/>
          <w:szCs w:val="28"/>
          <w:u w:color="000000"/>
          <w:lang w:eastAsia="en-GB"/>
        </w:rPr>
      </w:pPr>
    </w:p>
    <w:p w14:paraId="0948D47E" w14:textId="77777777" w:rsidR="00973D8D" w:rsidRPr="00520E21"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r w:rsidRPr="00520E21">
        <w:rPr>
          <w:rFonts w:ascii="Calibri" w:eastAsia="Arial Unicode MS" w:hAnsi="Calibri" w:cs="Times New Roman"/>
          <w:b/>
          <w:color w:val="000000"/>
          <w:sz w:val="28"/>
          <w:szCs w:val="28"/>
          <w:u w:color="000000"/>
          <w:lang w:eastAsia="en-GB"/>
        </w:rPr>
        <w:lastRenderedPageBreak/>
        <w:t>WMG ACADEMY FOR YOUNG ENGINEERS</w:t>
      </w:r>
    </w:p>
    <w:p w14:paraId="4A0C8D2F" w14:textId="77777777" w:rsidR="00973D8D"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7EE591D9" w14:textId="39E8BE84" w:rsidR="00A333AB" w:rsidRPr="003B097E" w:rsidRDefault="008B41E8" w:rsidP="00A333AB">
      <w:pPr>
        <w:spacing w:after="0" w:line="240" w:lineRule="auto"/>
        <w:jc w:val="center"/>
        <w:outlineLvl w:val="0"/>
        <w:rPr>
          <w:rFonts w:ascii="Calibri" w:eastAsia="Arial Unicode MS" w:hAnsi="Calibri" w:cs="Calibri"/>
          <w:b/>
          <w:color w:val="000000"/>
          <w:sz w:val="28"/>
          <w:szCs w:val="28"/>
          <w:u w:color="000000"/>
          <w:lang w:val="en-US"/>
        </w:rPr>
      </w:pPr>
      <w:r>
        <w:rPr>
          <w:rFonts w:ascii="Calibri" w:eastAsia="Arial Unicode MS" w:hAnsi="Calibri" w:cs="Calibri"/>
          <w:b/>
          <w:color w:val="000000"/>
          <w:sz w:val="28"/>
          <w:szCs w:val="28"/>
          <w:u w:color="000000"/>
          <w:lang w:val="en-US"/>
        </w:rPr>
        <w:t>WHISTLEBLOWING POLICY</w:t>
      </w:r>
    </w:p>
    <w:p w14:paraId="48191CAE" w14:textId="77777777" w:rsidR="00A333AB" w:rsidRDefault="00A333AB" w:rsidP="00A333AB">
      <w:pPr>
        <w:pStyle w:val="Body1"/>
        <w:tabs>
          <w:tab w:val="left" w:pos="8085"/>
        </w:tabs>
        <w:rPr>
          <w:rFonts w:ascii="Helvetica" w:hAnsi="Helvetica"/>
          <w:b/>
        </w:rPr>
      </w:pPr>
    </w:p>
    <w:p w14:paraId="066E19F4" w14:textId="77777777" w:rsidR="00A333AB" w:rsidRDefault="00A333AB" w:rsidP="00A333AB">
      <w:pPr>
        <w:pStyle w:val="Body1"/>
        <w:rPr>
          <w:rFonts w:ascii="Helvetica" w:hAnsi="Arial Unicode MS"/>
        </w:rPr>
      </w:pPr>
    </w:p>
    <w:p w14:paraId="052306A5" w14:textId="77777777" w:rsidR="00A333AB" w:rsidRDefault="00A333AB" w:rsidP="00A333AB">
      <w:pPr>
        <w:spacing w:after="0" w:line="240" w:lineRule="auto"/>
        <w:outlineLvl w:val="0"/>
        <w:rPr>
          <w:rFonts w:ascii="Calibri" w:eastAsia="Arial Unicode MS" w:hAnsi="Calibri" w:cs="Calibri"/>
          <w:b/>
          <w:color w:val="000000"/>
          <w:sz w:val="24"/>
          <w:szCs w:val="24"/>
          <w:u w:color="00000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273"/>
        <w:gridCol w:w="1954"/>
        <w:gridCol w:w="2504"/>
      </w:tblGrid>
      <w:tr w:rsidR="008B41E8" w:rsidRPr="00193270" w14:paraId="57239456" w14:textId="77777777" w:rsidTr="00730B4D">
        <w:trPr>
          <w:trHeight w:val="1010"/>
        </w:trPr>
        <w:tc>
          <w:tcPr>
            <w:tcW w:w="2290" w:type="dxa"/>
            <w:shd w:val="clear" w:color="auto" w:fill="auto"/>
          </w:tcPr>
          <w:p w14:paraId="1443A3D2"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01F06671" w14:textId="77777777" w:rsidR="008B41E8" w:rsidRPr="00193270" w:rsidRDefault="008B41E8" w:rsidP="00730B4D">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Author:</w:t>
            </w:r>
          </w:p>
        </w:tc>
        <w:tc>
          <w:tcPr>
            <w:tcW w:w="2273" w:type="dxa"/>
            <w:shd w:val="clear" w:color="auto" w:fill="auto"/>
          </w:tcPr>
          <w:p w14:paraId="7E96A489"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74331168"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r w:rsidRPr="00193270">
              <w:rPr>
                <w:rFonts w:eastAsia="Arial Unicode MS" w:cstheme="minorHAnsi"/>
                <w:color w:val="000000"/>
                <w:sz w:val="24"/>
                <w:szCs w:val="24"/>
                <w:u w:color="000000"/>
                <w:lang w:eastAsia="en-GB"/>
              </w:rPr>
              <w:t>Kate Tague</w:t>
            </w:r>
          </w:p>
        </w:tc>
        <w:tc>
          <w:tcPr>
            <w:tcW w:w="1954" w:type="dxa"/>
            <w:shd w:val="clear" w:color="auto" w:fill="auto"/>
          </w:tcPr>
          <w:p w14:paraId="662FBA71"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50105E09" w14:textId="77777777" w:rsidR="008B41E8" w:rsidRPr="00193270" w:rsidRDefault="008B41E8" w:rsidP="00730B4D">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Version:</w:t>
            </w:r>
          </w:p>
          <w:p w14:paraId="1EF46912"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tc>
        <w:tc>
          <w:tcPr>
            <w:tcW w:w="2504" w:type="dxa"/>
            <w:shd w:val="clear" w:color="auto" w:fill="auto"/>
          </w:tcPr>
          <w:p w14:paraId="216F9D4D"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51F24A92"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3</w:t>
            </w:r>
          </w:p>
        </w:tc>
      </w:tr>
      <w:tr w:rsidR="008B41E8" w:rsidRPr="00193270" w14:paraId="6FE2936B" w14:textId="77777777" w:rsidTr="00730B4D">
        <w:tc>
          <w:tcPr>
            <w:tcW w:w="2290" w:type="dxa"/>
            <w:shd w:val="clear" w:color="auto" w:fill="auto"/>
          </w:tcPr>
          <w:p w14:paraId="0AFE8428"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6120AEFF" w14:textId="77777777" w:rsidR="008B41E8" w:rsidRPr="00193270" w:rsidRDefault="008B41E8" w:rsidP="00730B4D">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Date Approved:</w:t>
            </w:r>
          </w:p>
        </w:tc>
        <w:tc>
          <w:tcPr>
            <w:tcW w:w="2273" w:type="dxa"/>
            <w:shd w:val="clear" w:color="auto" w:fill="auto"/>
          </w:tcPr>
          <w:p w14:paraId="3DE65CE1"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49860153"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September 2016</w:t>
            </w:r>
          </w:p>
        </w:tc>
        <w:tc>
          <w:tcPr>
            <w:tcW w:w="1954" w:type="dxa"/>
            <w:shd w:val="clear" w:color="auto" w:fill="auto"/>
          </w:tcPr>
          <w:p w14:paraId="34EDA1F9"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1B6B989D" w14:textId="77777777" w:rsidR="008B41E8" w:rsidRPr="00193270" w:rsidRDefault="008B41E8" w:rsidP="00730B4D">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Date for Review:</w:t>
            </w:r>
          </w:p>
          <w:p w14:paraId="09CA79A2"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tc>
        <w:tc>
          <w:tcPr>
            <w:tcW w:w="2504" w:type="dxa"/>
            <w:shd w:val="clear" w:color="auto" w:fill="auto"/>
          </w:tcPr>
          <w:p w14:paraId="37A8F0FA"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67317857"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June 2018</w:t>
            </w:r>
          </w:p>
        </w:tc>
      </w:tr>
      <w:tr w:rsidR="008B41E8" w:rsidRPr="00193270" w14:paraId="14BFFEA2" w14:textId="77777777" w:rsidTr="00730B4D">
        <w:tc>
          <w:tcPr>
            <w:tcW w:w="9021" w:type="dxa"/>
            <w:gridSpan w:val="4"/>
            <w:shd w:val="clear" w:color="auto" w:fill="auto"/>
          </w:tcPr>
          <w:p w14:paraId="623E6CB3"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p w14:paraId="0FDD008C" w14:textId="529112F6"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r w:rsidRPr="00193270">
              <w:rPr>
                <w:rFonts w:eastAsia="Arial Unicode MS" w:cstheme="minorHAnsi"/>
                <w:b/>
                <w:color w:val="000000"/>
                <w:sz w:val="24"/>
                <w:szCs w:val="24"/>
                <w:u w:color="000000"/>
                <w:lang w:eastAsia="en-GB"/>
              </w:rPr>
              <w:t xml:space="preserve">Monitoring, Review and Evaluation:   </w:t>
            </w:r>
            <w:r w:rsidRPr="00193270">
              <w:rPr>
                <w:rFonts w:eastAsia="Arial Unicode MS" w:cstheme="minorHAnsi"/>
                <w:color w:val="000000"/>
                <w:sz w:val="24"/>
                <w:szCs w:val="24"/>
                <w:u w:color="000000"/>
                <w:lang w:eastAsia="en-GB"/>
              </w:rPr>
              <w:t xml:space="preserve">KT and </w:t>
            </w:r>
            <w:r w:rsidR="008340C4">
              <w:rPr>
                <w:rFonts w:eastAsia="Arial Unicode MS" w:cstheme="minorHAnsi"/>
                <w:color w:val="000000"/>
                <w:sz w:val="24"/>
                <w:szCs w:val="24"/>
                <w:u w:color="000000"/>
                <w:lang w:eastAsia="en-GB"/>
              </w:rPr>
              <w:t>Trust Board</w:t>
            </w:r>
          </w:p>
          <w:p w14:paraId="2C6AB574" w14:textId="77777777" w:rsidR="008B41E8" w:rsidRPr="00193270" w:rsidRDefault="008B41E8" w:rsidP="00730B4D">
            <w:pPr>
              <w:spacing w:after="0" w:line="240" w:lineRule="auto"/>
              <w:outlineLvl w:val="0"/>
              <w:rPr>
                <w:rFonts w:eastAsia="Arial Unicode MS" w:cstheme="minorHAnsi"/>
                <w:color w:val="000000"/>
                <w:sz w:val="24"/>
                <w:szCs w:val="24"/>
                <w:u w:color="000000"/>
                <w:lang w:eastAsia="en-GB"/>
              </w:rPr>
            </w:pPr>
          </w:p>
        </w:tc>
      </w:tr>
    </w:tbl>
    <w:p w14:paraId="60116565" w14:textId="77777777" w:rsidR="008B41E8" w:rsidRPr="00193270" w:rsidRDefault="008B41E8" w:rsidP="008B41E8">
      <w:pPr>
        <w:spacing w:line="240" w:lineRule="auto"/>
        <w:contextualSpacing/>
        <w:outlineLvl w:val="0"/>
        <w:rPr>
          <w:rFonts w:eastAsia="Arial Unicode MS" w:cstheme="minorHAnsi"/>
          <w:color w:val="000000"/>
          <w:u w:color="000000"/>
          <w:lang w:eastAsia="en-GB"/>
        </w:rPr>
      </w:pPr>
      <w:bookmarkStart w:id="0" w:name="_GoBack"/>
      <w:bookmarkEnd w:id="0"/>
    </w:p>
    <w:p w14:paraId="166BC583" w14:textId="77777777" w:rsidR="008B41E8" w:rsidRPr="00DF420D" w:rsidRDefault="008B41E8" w:rsidP="008B41E8">
      <w:pPr>
        <w:spacing w:line="240" w:lineRule="auto"/>
        <w:contextualSpacing/>
        <w:jc w:val="both"/>
        <w:outlineLvl w:val="0"/>
        <w:rPr>
          <w:rFonts w:eastAsia="Arial Unicode MS" w:cstheme="minorHAnsi"/>
          <w:b/>
          <w:color w:val="000000"/>
          <w:u w:color="000000"/>
          <w:lang w:eastAsia="en-GB"/>
        </w:rPr>
      </w:pPr>
      <w:r w:rsidRPr="00DF420D">
        <w:rPr>
          <w:rFonts w:eastAsia="Arial Unicode MS" w:cstheme="minorHAnsi"/>
          <w:b/>
          <w:color w:val="000000"/>
          <w:u w:color="000000"/>
          <w:lang w:eastAsia="en-GB"/>
        </w:rPr>
        <w:t xml:space="preserve">1.0  </w:t>
      </w:r>
      <w:r w:rsidRPr="00DF420D">
        <w:rPr>
          <w:rFonts w:eastAsia="Arial Unicode MS" w:cstheme="minorHAnsi"/>
          <w:b/>
          <w:color w:val="000000"/>
          <w:u w:color="000000"/>
          <w:lang w:eastAsia="en-GB"/>
        </w:rPr>
        <w:tab/>
        <w:t>Introduction</w:t>
      </w:r>
    </w:p>
    <w:p w14:paraId="3F84E2B2" w14:textId="077B7898" w:rsidR="008B41E8" w:rsidRPr="00DF420D" w:rsidRDefault="008B41E8" w:rsidP="008B41E8">
      <w:pPr>
        <w:pStyle w:val="Body1"/>
        <w:contextualSpacing/>
        <w:jc w:val="both"/>
        <w:rPr>
          <w:rFonts w:asciiTheme="minorHAnsi" w:hAnsiTheme="minorHAnsi" w:cs="Arial"/>
          <w:sz w:val="22"/>
          <w:szCs w:val="22"/>
        </w:rPr>
      </w:pPr>
      <w:r w:rsidRPr="00DF420D">
        <w:rPr>
          <w:rFonts w:asciiTheme="minorHAnsi" w:hAnsiTheme="minorHAnsi"/>
          <w:sz w:val="22"/>
          <w:szCs w:val="22"/>
        </w:rPr>
        <w:t>The WMG Academy for Young Engineers</w:t>
      </w:r>
      <w:r w:rsidR="008340C4">
        <w:rPr>
          <w:rFonts w:asciiTheme="minorHAnsi" w:hAnsiTheme="minorHAnsi"/>
          <w:sz w:val="22"/>
          <w:szCs w:val="22"/>
        </w:rPr>
        <w:t xml:space="preserve"> Trust</w:t>
      </w:r>
      <w:r w:rsidRPr="00DF420D">
        <w:rPr>
          <w:rFonts w:asciiTheme="minorHAnsi" w:hAnsiTheme="minorHAnsi"/>
          <w:sz w:val="22"/>
          <w:szCs w:val="22"/>
        </w:rPr>
        <w:t xml:space="preserve"> is committed to the highest possible standards of openness, integrity and accountability. We expect employees, governors</w:t>
      </w:r>
      <w:r>
        <w:rPr>
          <w:rFonts w:asciiTheme="minorHAnsi" w:hAnsiTheme="minorHAnsi"/>
          <w:sz w:val="22"/>
          <w:szCs w:val="22"/>
        </w:rPr>
        <w:t>,</w:t>
      </w:r>
      <w:r w:rsidR="008340C4">
        <w:rPr>
          <w:rFonts w:asciiTheme="minorHAnsi" w:hAnsiTheme="minorHAnsi"/>
          <w:sz w:val="22"/>
          <w:szCs w:val="22"/>
        </w:rPr>
        <w:t xml:space="preserve"> trustees</w:t>
      </w:r>
      <w:r w:rsidRPr="00DF420D">
        <w:rPr>
          <w:rFonts w:asciiTheme="minorHAnsi" w:hAnsiTheme="minorHAnsi"/>
          <w:sz w:val="22"/>
          <w:szCs w:val="22"/>
        </w:rPr>
        <w:t xml:space="preserve"> and others that we work with</w:t>
      </w:r>
      <w:r>
        <w:rPr>
          <w:rFonts w:asciiTheme="minorHAnsi" w:hAnsiTheme="minorHAnsi"/>
          <w:sz w:val="22"/>
          <w:szCs w:val="22"/>
        </w:rPr>
        <w:t>,</w:t>
      </w:r>
      <w:r w:rsidRPr="00DF420D">
        <w:rPr>
          <w:rFonts w:asciiTheme="minorHAnsi" w:hAnsiTheme="minorHAnsi"/>
          <w:sz w:val="22"/>
          <w:szCs w:val="22"/>
        </w:rPr>
        <w:t xml:space="preserve"> who have serious concerns about any aspects of the WMG Academy</w:t>
      </w:r>
      <w:r w:rsidR="008340C4">
        <w:rPr>
          <w:rFonts w:asciiTheme="minorHAnsi" w:hAnsiTheme="minorHAnsi"/>
          <w:sz w:val="22"/>
          <w:szCs w:val="22"/>
        </w:rPr>
        <w:t xml:space="preserve"> Trust</w:t>
      </w:r>
      <w:r w:rsidRPr="00DF420D">
        <w:rPr>
          <w:rFonts w:asciiTheme="minorHAnsi" w:hAnsiTheme="minorHAnsi"/>
          <w:sz w:val="22"/>
          <w:szCs w:val="22"/>
        </w:rPr>
        <w:t xml:space="preserve">’s work to come forward and voice those concerns.  </w:t>
      </w:r>
      <w:r w:rsidRPr="00DF420D">
        <w:rPr>
          <w:rFonts w:asciiTheme="minorHAnsi" w:hAnsiTheme="minorHAnsi" w:cs="Arial"/>
          <w:sz w:val="22"/>
          <w:szCs w:val="22"/>
        </w:rPr>
        <w:t xml:space="preserve">The </w:t>
      </w:r>
      <w:r w:rsidR="008340C4">
        <w:rPr>
          <w:rFonts w:asciiTheme="minorHAnsi" w:hAnsiTheme="minorHAnsi" w:cs="Arial"/>
          <w:sz w:val="22"/>
          <w:szCs w:val="22"/>
        </w:rPr>
        <w:t>Trust Board</w:t>
      </w:r>
      <w:r w:rsidRPr="00DF420D">
        <w:rPr>
          <w:rFonts w:asciiTheme="minorHAnsi" w:hAnsiTheme="minorHAnsi" w:cs="Arial"/>
          <w:sz w:val="22"/>
          <w:szCs w:val="22"/>
        </w:rPr>
        <w:t xml:space="preserve"> will</w:t>
      </w:r>
      <w:r>
        <w:rPr>
          <w:rFonts w:asciiTheme="minorHAnsi" w:hAnsiTheme="minorHAnsi" w:cs="Arial"/>
          <w:sz w:val="22"/>
          <w:szCs w:val="22"/>
        </w:rPr>
        <w:t xml:space="preserve"> </w:t>
      </w:r>
      <w:r w:rsidRPr="00DF420D">
        <w:rPr>
          <w:rFonts w:asciiTheme="minorHAnsi" w:hAnsiTheme="minorHAnsi" w:cs="Arial"/>
          <w:sz w:val="22"/>
          <w:szCs w:val="22"/>
        </w:rPr>
        <w:t xml:space="preserve">respond to all individuals who raise any concerns that they may have about the conduct of others in the WMG </w:t>
      </w:r>
      <w:r>
        <w:rPr>
          <w:rFonts w:asciiTheme="minorHAnsi" w:hAnsiTheme="minorHAnsi" w:cs="Arial"/>
          <w:sz w:val="22"/>
          <w:szCs w:val="22"/>
        </w:rPr>
        <w:t>Academy</w:t>
      </w:r>
      <w:r w:rsidR="008340C4">
        <w:rPr>
          <w:rFonts w:asciiTheme="minorHAnsi" w:hAnsiTheme="minorHAnsi" w:cs="Arial"/>
          <w:sz w:val="22"/>
          <w:szCs w:val="22"/>
        </w:rPr>
        <w:t xml:space="preserve"> Trust</w:t>
      </w:r>
      <w:r>
        <w:rPr>
          <w:rFonts w:asciiTheme="minorHAnsi" w:hAnsiTheme="minorHAnsi" w:cs="Arial"/>
          <w:sz w:val="22"/>
          <w:szCs w:val="22"/>
        </w:rPr>
        <w:t xml:space="preserve"> and </w:t>
      </w:r>
      <w:r w:rsidRPr="00DF420D">
        <w:rPr>
          <w:rFonts w:asciiTheme="minorHAnsi" w:hAnsiTheme="minorHAnsi" w:cs="Arial"/>
          <w:sz w:val="22"/>
          <w:szCs w:val="22"/>
        </w:rPr>
        <w:t xml:space="preserve">which are in the public interest. </w:t>
      </w:r>
    </w:p>
    <w:p w14:paraId="67F991AA" w14:textId="77777777" w:rsidR="008B41E8" w:rsidRPr="00DF420D" w:rsidRDefault="008B41E8" w:rsidP="008B41E8">
      <w:pPr>
        <w:pStyle w:val="Body1"/>
        <w:contextualSpacing/>
        <w:jc w:val="both"/>
        <w:rPr>
          <w:rFonts w:asciiTheme="minorHAnsi" w:hAnsiTheme="minorHAnsi" w:cs="Arial"/>
          <w:sz w:val="22"/>
          <w:szCs w:val="22"/>
        </w:rPr>
      </w:pPr>
    </w:p>
    <w:p w14:paraId="6C562024" w14:textId="77777777" w:rsidR="008B41E8" w:rsidRDefault="008B41E8" w:rsidP="008B41E8">
      <w:pPr>
        <w:pStyle w:val="Body1"/>
        <w:contextualSpacing/>
        <w:jc w:val="both"/>
        <w:rPr>
          <w:rFonts w:asciiTheme="minorHAnsi" w:hAnsiTheme="minorHAnsi" w:cs="Arial"/>
          <w:sz w:val="22"/>
          <w:szCs w:val="22"/>
        </w:rPr>
      </w:pPr>
      <w:r w:rsidRPr="00DF420D">
        <w:rPr>
          <w:rFonts w:asciiTheme="minorHAnsi" w:hAnsiTheme="minorHAnsi" w:cs="Arial"/>
          <w:sz w:val="22"/>
          <w:szCs w:val="22"/>
        </w:rPr>
        <w:t>This policy sets out the way in which individuals may raise any concerns that they have, in confidence</w:t>
      </w:r>
      <w:r>
        <w:rPr>
          <w:rFonts w:asciiTheme="minorHAnsi" w:hAnsiTheme="minorHAnsi" w:cs="Arial"/>
          <w:sz w:val="22"/>
          <w:szCs w:val="22"/>
        </w:rPr>
        <w:t xml:space="preserve">, without fear of victimisation and </w:t>
      </w:r>
      <w:r w:rsidRPr="00DF420D">
        <w:rPr>
          <w:rFonts w:asciiTheme="minorHAnsi" w:hAnsiTheme="minorHAnsi" w:cs="Arial"/>
          <w:sz w:val="22"/>
          <w:szCs w:val="22"/>
        </w:rPr>
        <w:t>subsequent discrimination or disadvantage and how those concerns will be dealt with.</w:t>
      </w:r>
    </w:p>
    <w:p w14:paraId="3F1BE8CF" w14:textId="77777777" w:rsidR="008B41E8" w:rsidRPr="00DF420D" w:rsidRDefault="008B41E8" w:rsidP="008B41E8">
      <w:pPr>
        <w:pStyle w:val="Body1"/>
        <w:contextualSpacing/>
        <w:jc w:val="both"/>
        <w:rPr>
          <w:rFonts w:asciiTheme="minorHAnsi" w:hAnsiTheme="minorHAnsi"/>
          <w:sz w:val="22"/>
          <w:szCs w:val="22"/>
        </w:rPr>
      </w:pPr>
    </w:p>
    <w:p w14:paraId="2CBF1E0C" w14:textId="4D172CA9" w:rsidR="008B41E8" w:rsidRDefault="008B41E8" w:rsidP="008B41E8">
      <w:pPr>
        <w:spacing w:line="240" w:lineRule="auto"/>
        <w:contextualSpacing/>
        <w:jc w:val="both"/>
        <w:rPr>
          <w:rFonts w:cs="Arial"/>
        </w:rPr>
      </w:pPr>
      <w:r w:rsidRPr="00DF420D">
        <w:rPr>
          <w:rFonts w:cs="Arial"/>
        </w:rPr>
        <w:t xml:space="preserve">Any individual covered by this policy will be expected, through agreed procedures and without fear of recrimination, to bring to the attention of the </w:t>
      </w:r>
      <w:r>
        <w:rPr>
          <w:rFonts w:cs="Arial"/>
        </w:rPr>
        <w:t xml:space="preserve">Executive </w:t>
      </w:r>
      <w:r w:rsidRPr="00DF420D">
        <w:rPr>
          <w:rFonts w:cs="Arial"/>
        </w:rPr>
        <w:t xml:space="preserve">Principal (or the Chair of </w:t>
      </w:r>
      <w:r w:rsidR="008340C4">
        <w:rPr>
          <w:rFonts w:cs="Arial"/>
        </w:rPr>
        <w:t>the Trust</w:t>
      </w:r>
      <w:r w:rsidRPr="00DF420D">
        <w:rPr>
          <w:rFonts w:cs="Arial"/>
        </w:rPr>
        <w:t xml:space="preserve"> if the concerns relate to the </w:t>
      </w:r>
      <w:r>
        <w:rPr>
          <w:rFonts w:cs="Arial"/>
        </w:rPr>
        <w:t xml:space="preserve">Executive </w:t>
      </w:r>
      <w:r w:rsidRPr="00DF420D">
        <w:rPr>
          <w:rFonts w:cs="Arial"/>
        </w:rPr>
        <w:t xml:space="preserve">Principal) any serious impropriety or breach of procedure. </w:t>
      </w:r>
    </w:p>
    <w:p w14:paraId="3AF08BD3" w14:textId="77777777" w:rsidR="008B41E8" w:rsidRPr="00DF420D" w:rsidRDefault="008B41E8" w:rsidP="008B41E8">
      <w:pPr>
        <w:spacing w:line="240" w:lineRule="auto"/>
        <w:contextualSpacing/>
        <w:jc w:val="both"/>
        <w:rPr>
          <w:rFonts w:cs="Arial"/>
        </w:rPr>
      </w:pPr>
    </w:p>
    <w:p w14:paraId="3930F2D9" w14:textId="77777777" w:rsidR="008B41E8" w:rsidRPr="00DF420D" w:rsidRDefault="008B41E8" w:rsidP="008B41E8">
      <w:pPr>
        <w:spacing w:line="240" w:lineRule="auto"/>
        <w:contextualSpacing/>
        <w:jc w:val="both"/>
        <w:rPr>
          <w:rFonts w:cs="Arial"/>
        </w:rPr>
      </w:pPr>
      <w:r w:rsidRPr="00DF420D">
        <w:rPr>
          <w:rFonts w:cs="Arial"/>
        </w:rPr>
        <w:t xml:space="preserve">Employees who do not follow the steps identified in this procedure or other agreed internal procedures, and take their concerns to other outside sources (e.g. the press), may be subject to a formal disciplinary investigation. </w:t>
      </w:r>
    </w:p>
    <w:p w14:paraId="25E13677" w14:textId="77777777" w:rsidR="008B41E8" w:rsidRPr="00DF420D" w:rsidRDefault="008B41E8" w:rsidP="008B41E8">
      <w:pPr>
        <w:pStyle w:val="ListParagraph"/>
        <w:numPr>
          <w:ilvl w:val="0"/>
          <w:numId w:val="45"/>
        </w:numPr>
        <w:jc w:val="both"/>
        <w:rPr>
          <w:rFonts w:cs="Arial"/>
          <w:b/>
        </w:rPr>
      </w:pPr>
      <w:r>
        <w:rPr>
          <w:rFonts w:cs="Arial"/>
          <w:b/>
        </w:rPr>
        <w:t xml:space="preserve"> </w:t>
      </w:r>
      <w:r>
        <w:rPr>
          <w:rFonts w:cs="Arial"/>
          <w:b/>
        </w:rPr>
        <w:tab/>
      </w:r>
      <w:r w:rsidRPr="00DF420D">
        <w:rPr>
          <w:rFonts w:cs="Arial"/>
          <w:b/>
        </w:rPr>
        <w:t>Aim</w:t>
      </w:r>
    </w:p>
    <w:p w14:paraId="4BF33F95" w14:textId="77777777" w:rsidR="008B41E8" w:rsidRPr="00DF420D" w:rsidRDefault="008B41E8" w:rsidP="008B41E8">
      <w:pPr>
        <w:spacing w:line="240" w:lineRule="auto"/>
        <w:contextualSpacing/>
        <w:jc w:val="both"/>
        <w:rPr>
          <w:rFonts w:cs="Arial"/>
        </w:rPr>
      </w:pPr>
      <w:r w:rsidRPr="00DF420D">
        <w:rPr>
          <w:rFonts w:cs="Arial"/>
        </w:rPr>
        <w:t>This policy aims to:</w:t>
      </w:r>
    </w:p>
    <w:p w14:paraId="4DDB147D" w14:textId="77777777" w:rsidR="008B41E8" w:rsidRPr="00DF420D" w:rsidRDefault="008B41E8" w:rsidP="008B41E8">
      <w:pPr>
        <w:spacing w:after="0"/>
        <w:jc w:val="both"/>
        <w:rPr>
          <w:rFonts w:cs="Arial"/>
        </w:rPr>
      </w:pPr>
    </w:p>
    <w:p w14:paraId="68ADE5AF" w14:textId="77777777" w:rsidR="008B41E8" w:rsidRPr="00DF420D" w:rsidRDefault="008B41E8" w:rsidP="008B41E8">
      <w:pPr>
        <w:pStyle w:val="ListParagraph"/>
        <w:numPr>
          <w:ilvl w:val="0"/>
          <w:numId w:val="46"/>
        </w:numPr>
        <w:spacing w:after="0"/>
        <w:jc w:val="both"/>
        <w:rPr>
          <w:rFonts w:cs="Arial"/>
          <w:sz w:val="22"/>
        </w:rPr>
      </w:pPr>
      <w:r w:rsidRPr="00DF420D">
        <w:rPr>
          <w:rFonts w:cs="Arial"/>
          <w:sz w:val="22"/>
        </w:rPr>
        <w:t>Encourage you to feel confident in raising serious concerns and to question and act upon concerns;</w:t>
      </w:r>
    </w:p>
    <w:p w14:paraId="72516873" w14:textId="77777777" w:rsidR="008B41E8" w:rsidRPr="00DF420D" w:rsidRDefault="008B41E8" w:rsidP="008B41E8">
      <w:pPr>
        <w:pStyle w:val="ListParagraph"/>
        <w:numPr>
          <w:ilvl w:val="0"/>
          <w:numId w:val="46"/>
        </w:numPr>
        <w:spacing w:after="0"/>
        <w:jc w:val="both"/>
        <w:rPr>
          <w:rFonts w:cs="Arial"/>
          <w:sz w:val="22"/>
        </w:rPr>
      </w:pPr>
      <w:r w:rsidRPr="00DF420D">
        <w:rPr>
          <w:rFonts w:cs="Arial"/>
          <w:sz w:val="22"/>
        </w:rPr>
        <w:t>Provide routes for you to raise those concerns and receive feedback on any action taken;</w:t>
      </w:r>
    </w:p>
    <w:p w14:paraId="382109FA" w14:textId="77777777" w:rsidR="008B41E8" w:rsidRPr="00DF420D" w:rsidRDefault="008B41E8" w:rsidP="008B41E8">
      <w:pPr>
        <w:pStyle w:val="ListParagraph"/>
        <w:numPr>
          <w:ilvl w:val="0"/>
          <w:numId w:val="46"/>
        </w:numPr>
        <w:spacing w:after="0"/>
        <w:jc w:val="both"/>
        <w:rPr>
          <w:rFonts w:cs="Arial"/>
          <w:sz w:val="22"/>
        </w:rPr>
      </w:pPr>
      <w:r>
        <w:rPr>
          <w:rFonts w:cs="Arial"/>
          <w:sz w:val="22"/>
        </w:rPr>
        <w:t>Ensure that you receive</w:t>
      </w:r>
      <w:r w:rsidRPr="00DF420D">
        <w:rPr>
          <w:rFonts w:cs="Arial"/>
          <w:sz w:val="22"/>
        </w:rPr>
        <w:t xml:space="preserve"> a response to your concerns and that you are aware of how to pursue them if you are </w:t>
      </w:r>
      <w:r>
        <w:rPr>
          <w:rFonts w:cs="Arial"/>
          <w:sz w:val="22"/>
        </w:rPr>
        <w:t xml:space="preserve">not </w:t>
      </w:r>
      <w:r w:rsidRPr="00DF420D">
        <w:rPr>
          <w:rFonts w:cs="Arial"/>
          <w:sz w:val="22"/>
        </w:rPr>
        <w:t>satisfied;</w:t>
      </w:r>
    </w:p>
    <w:p w14:paraId="66887B95" w14:textId="77777777" w:rsidR="008B41E8" w:rsidRPr="00DF420D" w:rsidRDefault="008B41E8" w:rsidP="008B41E8">
      <w:pPr>
        <w:pStyle w:val="ListParagraph"/>
        <w:numPr>
          <w:ilvl w:val="0"/>
          <w:numId w:val="46"/>
        </w:numPr>
        <w:spacing w:after="0"/>
        <w:jc w:val="both"/>
        <w:rPr>
          <w:rFonts w:cs="Arial"/>
          <w:sz w:val="22"/>
        </w:rPr>
      </w:pPr>
      <w:r w:rsidRPr="00DF420D">
        <w:rPr>
          <w:rFonts w:cs="Arial"/>
          <w:sz w:val="22"/>
        </w:rPr>
        <w:t xml:space="preserve">Reassure you that you will be protected from possible reprisals or </w:t>
      </w:r>
      <w:proofErr w:type="spellStart"/>
      <w:r w:rsidRPr="00DF420D">
        <w:rPr>
          <w:rFonts w:cs="Arial"/>
          <w:sz w:val="22"/>
        </w:rPr>
        <w:t>victimisation</w:t>
      </w:r>
      <w:proofErr w:type="spellEnd"/>
      <w:r w:rsidRPr="00DF420D">
        <w:rPr>
          <w:rFonts w:cs="Arial"/>
          <w:sz w:val="22"/>
        </w:rPr>
        <w:t xml:space="preserve"> if you have a reasonable belief that you have raised any concern in good faith.</w:t>
      </w:r>
    </w:p>
    <w:p w14:paraId="1CF9F313" w14:textId="77777777" w:rsidR="008B41E8" w:rsidRPr="00DF420D" w:rsidRDefault="008B41E8" w:rsidP="008B41E8">
      <w:pPr>
        <w:spacing w:after="0" w:line="240" w:lineRule="auto"/>
        <w:contextualSpacing/>
        <w:jc w:val="both"/>
        <w:rPr>
          <w:rFonts w:cs="Arial"/>
        </w:rPr>
      </w:pPr>
    </w:p>
    <w:p w14:paraId="3BEEE19D" w14:textId="21CB38FC" w:rsidR="008B41E8" w:rsidRPr="00DF420D" w:rsidRDefault="008B41E8" w:rsidP="008B41E8">
      <w:pPr>
        <w:spacing w:after="0" w:line="240" w:lineRule="auto"/>
        <w:contextualSpacing/>
        <w:jc w:val="both"/>
        <w:rPr>
          <w:rFonts w:cs="Arial"/>
        </w:rPr>
      </w:pPr>
      <w:r w:rsidRPr="00DF420D">
        <w:rPr>
          <w:rFonts w:cs="Arial"/>
        </w:rPr>
        <w:lastRenderedPageBreak/>
        <w:t>There are existing procedures in place to enable employees to lodge grievances rel</w:t>
      </w:r>
      <w:r>
        <w:rPr>
          <w:rFonts w:cs="Arial"/>
        </w:rPr>
        <w:t>ating to their employment. The W</w:t>
      </w:r>
      <w:r w:rsidRPr="00DF420D">
        <w:rPr>
          <w:rFonts w:cs="Arial"/>
        </w:rPr>
        <w:t xml:space="preserve">histleblowing Policy is intended to cover concerns that fall outside the scope of other procedures, including the WMG Academy </w:t>
      </w:r>
      <w:r w:rsidR="008340C4">
        <w:rPr>
          <w:rFonts w:cs="Arial"/>
        </w:rPr>
        <w:t xml:space="preserve">Trust </w:t>
      </w:r>
      <w:r w:rsidRPr="00DF420D">
        <w:rPr>
          <w:rFonts w:cs="Arial"/>
        </w:rPr>
        <w:t>complaints procedure or grievance procedure.</w:t>
      </w:r>
    </w:p>
    <w:p w14:paraId="56522956" w14:textId="77777777" w:rsidR="008B41E8" w:rsidRDefault="008B41E8" w:rsidP="008B41E8">
      <w:pPr>
        <w:spacing w:after="0" w:line="240" w:lineRule="auto"/>
        <w:contextualSpacing/>
        <w:jc w:val="both"/>
        <w:rPr>
          <w:rFonts w:cs="Arial"/>
        </w:rPr>
      </w:pPr>
    </w:p>
    <w:p w14:paraId="2908B843" w14:textId="77777777" w:rsidR="008B41E8" w:rsidRDefault="008B41E8" w:rsidP="008B41E8">
      <w:pPr>
        <w:spacing w:after="0" w:line="240" w:lineRule="auto"/>
        <w:contextualSpacing/>
        <w:jc w:val="both"/>
        <w:rPr>
          <w:rFonts w:cs="Arial"/>
        </w:rPr>
      </w:pPr>
      <w:r w:rsidRPr="00DF420D">
        <w:rPr>
          <w:rFonts w:cs="Arial"/>
        </w:rPr>
        <w:t>This policy covers concerns about:</w:t>
      </w:r>
    </w:p>
    <w:p w14:paraId="4E91AB05" w14:textId="77777777" w:rsidR="008B41E8" w:rsidRPr="00DF420D" w:rsidRDefault="008B41E8" w:rsidP="008B41E8">
      <w:pPr>
        <w:spacing w:after="0" w:line="240" w:lineRule="auto"/>
        <w:contextualSpacing/>
        <w:jc w:val="both"/>
        <w:rPr>
          <w:rFonts w:cs="Arial"/>
        </w:rPr>
      </w:pPr>
    </w:p>
    <w:p w14:paraId="455AC000"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Conduct which is an offence or a breach of law</w:t>
      </w:r>
      <w:r>
        <w:rPr>
          <w:rFonts w:cs="Arial"/>
          <w:sz w:val="22"/>
        </w:rPr>
        <w:t>;</w:t>
      </w:r>
    </w:p>
    <w:p w14:paraId="45848A07"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Disclosures related to miscarriages of justice</w:t>
      </w:r>
      <w:r>
        <w:rPr>
          <w:rFonts w:cs="Arial"/>
          <w:sz w:val="22"/>
        </w:rPr>
        <w:t>;</w:t>
      </w:r>
    </w:p>
    <w:p w14:paraId="08B01A12"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Health and Safety risks, including risks to the public as well as other employees</w:t>
      </w:r>
      <w:r>
        <w:rPr>
          <w:rFonts w:cs="Arial"/>
          <w:sz w:val="22"/>
        </w:rPr>
        <w:t>;</w:t>
      </w:r>
    </w:p>
    <w:p w14:paraId="66E4CAC0"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Damage to the environment</w:t>
      </w:r>
      <w:r>
        <w:rPr>
          <w:rFonts w:cs="Arial"/>
          <w:sz w:val="22"/>
        </w:rPr>
        <w:t>;</w:t>
      </w:r>
    </w:p>
    <w:p w14:paraId="72431A03" w14:textId="77777777" w:rsidR="008B41E8" w:rsidRPr="00DF420D" w:rsidRDefault="008B41E8" w:rsidP="008B41E8">
      <w:pPr>
        <w:pStyle w:val="ListParagraph"/>
        <w:numPr>
          <w:ilvl w:val="0"/>
          <w:numId w:val="41"/>
        </w:numPr>
        <w:spacing w:after="0"/>
        <w:jc w:val="both"/>
        <w:rPr>
          <w:rFonts w:cs="Arial"/>
          <w:sz w:val="22"/>
        </w:rPr>
      </w:pPr>
      <w:r>
        <w:rPr>
          <w:rFonts w:cs="Arial"/>
          <w:sz w:val="22"/>
        </w:rPr>
        <w:t xml:space="preserve">The </w:t>
      </w:r>
      <w:proofErr w:type="spellStart"/>
      <w:r>
        <w:rPr>
          <w:rFonts w:cs="Arial"/>
          <w:sz w:val="22"/>
        </w:rPr>
        <w:t>u</w:t>
      </w:r>
      <w:r w:rsidRPr="00DF420D">
        <w:rPr>
          <w:rFonts w:cs="Arial"/>
          <w:sz w:val="22"/>
        </w:rPr>
        <w:t>nauthorised</w:t>
      </w:r>
      <w:proofErr w:type="spellEnd"/>
      <w:r w:rsidRPr="00DF420D">
        <w:rPr>
          <w:rFonts w:cs="Arial"/>
          <w:sz w:val="22"/>
        </w:rPr>
        <w:t xml:space="preserve"> use of public funds</w:t>
      </w:r>
      <w:r>
        <w:rPr>
          <w:rFonts w:cs="Arial"/>
          <w:sz w:val="22"/>
        </w:rPr>
        <w:t>;</w:t>
      </w:r>
    </w:p>
    <w:p w14:paraId="1349E55F" w14:textId="77777777" w:rsidR="008B41E8" w:rsidRPr="00DF420D" w:rsidRDefault="008B41E8" w:rsidP="008B41E8">
      <w:pPr>
        <w:numPr>
          <w:ilvl w:val="0"/>
          <w:numId w:val="41"/>
        </w:numPr>
        <w:spacing w:after="0" w:line="240" w:lineRule="auto"/>
        <w:contextualSpacing/>
        <w:jc w:val="both"/>
        <w:rPr>
          <w:rFonts w:cs="Arial"/>
        </w:rPr>
      </w:pPr>
      <w:r w:rsidRPr="00DF420D">
        <w:rPr>
          <w:rFonts w:cs="Arial"/>
        </w:rPr>
        <w:t>Corruptly receiving any gift or advantage, thus failing to comply with the Bribery Act 2010 (see Model Anti-Bribery Policy for Schools available on the Grid)</w:t>
      </w:r>
      <w:r>
        <w:rPr>
          <w:rFonts w:cs="Arial"/>
        </w:rPr>
        <w:t>;</w:t>
      </w:r>
    </w:p>
    <w:p w14:paraId="14F11FCB" w14:textId="77777777" w:rsidR="008B41E8" w:rsidRPr="00DF420D" w:rsidRDefault="008B41E8" w:rsidP="008B41E8">
      <w:pPr>
        <w:numPr>
          <w:ilvl w:val="0"/>
          <w:numId w:val="41"/>
        </w:numPr>
        <w:spacing w:after="0" w:line="240" w:lineRule="auto"/>
        <w:contextualSpacing/>
        <w:jc w:val="both"/>
        <w:rPr>
          <w:rFonts w:cs="Arial"/>
        </w:rPr>
      </w:pPr>
      <w:r w:rsidRPr="00DF420D">
        <w:rPr>
          <w:rFonts w:cs="Arial"/>
        </w:rPr>
        <w:t xml:space="preserve">Allowing private interests to override the interests of the </w:t>
      </w:r>
      <w:r>
        <w:rPr>
          <w:rFonts w:cs="Arial"/>
        </w:rPr>
        <w:t>academy;</w:t>
      </w:r>
    </w:p>
    <w:p w14:paraId="015D5DA8"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Possible fraud and corruption</w:t>
      </w:r>
      <w:r>
        <w:rPr>
          <w:rFonts w:cs="Arial"/>
          <w:sz w:val="22"/>
        </w:rPr>
        <w:t>;</w:t>
      </w:r>
    </w:p>
    <w:p w14:paraId="75DE9E44"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Sexual or physical abuse of clients</w:t>
      </w:r>
      <w:r>
        <w:rPr>
          <w:rFonts w:cs="Arial"/>
          <w:sz w:val="22"/>
        </w:rPr>
        <w:t>;</w:t>
      </w:r>
    </w:p>
    <w:p w14:paraId="786A854C"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Breaches of the WMG Academy policies</w:t>
      </w:r>
      <w:r>
        <w:rPr>
          <w:rFonts w:cs="Arial"/>
          <w:sz w:val="22"/>
        </w:rPr>
        <w:t>;</w:t>
      </w:r>
    </w:p>
    <w:p w14:paraId="29889DE3" w14:textId="77777777" w:rsidR="008B41E8" w:rsidRDefault="008B41E8" w:rsidP="008B41E8">
      <w:pPr>
        <w:pStyle w:val="ListParagraph"/>
        <w:numPr>
          <w:ilvl w:val="0"/>
          <w:numId w:val="41"/>
        </w:numPr>
        <w:spacing w:after="0"/>
        <w:jc w:val="both"/>
        <w:rPr>
          <w:rFonts w:cs="Arial"/>
          <w:sz w:val="22"/>
        </w:rPr>
      </w:pPr>
      <w:r w:rsidRPr="00DF420D">
        <w:rPr>
          <w:rFonts w:cs="Arial"/>
          <w:sz w:val="22"/>
        </w:rPr>
        <w:t>Unethical or improper conduct</w:t>
      </w:r>
      <w:r>
        <w:rPr>
          <w:rFonts w:cs="Arial"/>
          <w:sz w:val="22"/>
        </w:rPr>
        <w:t>;</w:t>
      </w:r>
    </w:p>
    <w:p w14:paraId="791DC8E1" w14:textId="77777777" w:rsidR="008B41E8" w:rsidRPr="00DF420D" w:rsidRDefault="008B41E8" w:rsidP="008B41E8">
      <w:pPr>
        <w:pStyle w:val="ListParagraph"/>
        <w:numPr>
          <w:ilvl w:val="0"/>
          <w:numId w:val="41"/>
        </w:numPr>
        <w:spacing w:after="0"/>
        <w:jc w:val="both"/>
        <w:rPr>
          <w:rFonts w:cs="Arial"/>
          <w:sz w:val="22"/>
        </w:rPr>
      </w:pPr>
      <w:r>
        <w:rPr>
          <w:rFonts w:cs="Arial"/>
          <w:sz w:val="22"/>
        </w:rPr>
        <w:t>Child protection concerns</w:t>
      </w:r>
    </w:p>
    <w:p w14:paraId="06B06185" w14:textId="77777777" w:rsidR="008B41E8" w:rsidRPr="00DF420D" w:rsidRDefault="008B41E8" w:rsidP="008B41E8">
      <w:pPr>
        <w:pStyle w:val="ListParagraph"/>
        <w:numPr>
          <w:ilvl w:val="0"/>
          <w:numId w:val="41"/>
        </w:numPr>
        <w:spacing w:after="0"/>
        <w:jc w:val="both"/>
        <w:rPr>
          <w:rFonts w:cs="Arial"/>
          <w:sz w:val="22"/>
        </w:rPr>
      </w:pPr>
      <w:r w:rsidRPr="00DF420D">
        <w:rPr>
          <w:rFonts w:cs="Arial"/>
          <w:sz w:val="22"/>
        </w:rPr>
        <w:t>Concealing information about any of these matters</w:t>
      </w:r>
      <w:r>
        <w:rPr>
          <w:rFonts w:cs="Arial"/>
          <w:sz w:val="22"/>
        </w:rPr>
        <w:t>.</w:t>
      </w:r>
    </w:p>
    <w:p w14:paraId="3799CF82" w14:textId="77777777" w:rsidR="008B41E8" w:rsidRPr="00DF420D" w:rsidRDefault="008B41E8" w:rsidP="008B41E8">
      <w:pPr>
        <w:spacing w:after="0" w:line="240" w:lineRule="auto"/>
        <w:contextualSpacing/>
        <w:jc w:val="both"/>
        <w:rPr>
          <w:rFonts w:cs="Arial"/>
        </w:rPr>
      </w:pPr>
    </w:p>
    <w:p w14:paraId="22BA7DCD" w14:textId="3AB7318D" w:rsidR="008B41E8" w:rsidRPr="00EB6A26" w:rsidRDefault="008B41E8" w:rsidP="008B41E8">
      <w:pPr>
        <w:spacing w:line="240" w:lineRule="auto"/>
        <w:contextualSpacing/>
        <w:jc w:val="both"/>
        <w:rPr>
          <w:rFonts w:cs="Arial"/>
        </w:rPr>
      </w:pPr>
      <w:r w:rsidRPr="00DF420D">
        <w:rPr>
          <w:rFonts w:cs="Arial"/>
        </w:rPr>
        <w:t>The policy is intended to assist individuals who have discovered malpractice or serious wrongdoing, provided they make the disclosure in accordance with the policy. It is not designed to question financial or business decisions taken by the WMG Academy</w:t>
      </w:r>
      <w:r w:rsidR="008340C4">
        <w:rPr>
          <w:rFonts w:cs="Arial"/>
        </w:rPr>
        <w:t xml:space="preserve"> Trust</w:t>
      </w:r>
      <w:r w:rsidRPr="00DF420D">
        <w:rPr>
          <w:rFonts w:cs="Arial"/>
        </w:rPr>
        <w:t xml:space="preserve"> nor may it be used to reconsider any matters that have already been addressed under the harassment, complaint or disciplinary procedures. It is not necessary for the employee to have proof that such an act is being, has been, or is likely to be committed,- a reasonable belief is sufficient. The employee has no responsibility for investigating the matter; it is the WMG Academy</w:t>
      </w:r>
      <w:r w:rsidR="008340C4">
        <w:rPr>
          <w:rFonts w:cs="Arial"/>
        </w:rPr>
        <w:t xml:space="preserve"> Trust</w:t>
      </w:r>
      <w:r w:rsidRPr="00DF420D">
        <w:rPr>
          <w:rFonts w:cs="Arial"/>
        </w:rPr>
        <w:t>’s responsibility to ensure that an investigation takes place</w:t>
      </w:r>
      <w:r>
        <w:rPr>
          <w:rFonts w:cs="Arial"/>
        </w:rPr>
        <w:t>.</w:t>
      </w:r>
    </w:p>
    <w:p w14:paraId="6778F790" w14:textId="77777777" w:rsidR="008B41E8" w:rsidRPr="00EB6A26" w:rsidRDefault="008B41E8" w:rsidP="008B41E8">
      <w:pPr>
        <w:pStyle w:val="ListParagraph"/>
        <w:numPr>
          <w:ilvl w:val="0"/>
          <w:numId w:val="45"/>
        </w:numPr>
        <w:jc w:val="both"/>
        <w:rPr>
          <w:rFonts w:cs="Arial"/>
          <w:b/>
        </w:rPr>
      </w:pPr>
      <w:r>
        <w:rPr>
          <w:rFonts w:cs="Arial"/>
          <w:b/>
        </w:rPr>
        <w:t xml:space="preserve"> </w:t>
      </w:r>
      <w:r>
        <w:rPr>
          <w:rFonts w:cs="Arial"/>
          <w:b/>
        </w:rPr>
        <w:tab/>
        <w:t>When other policies or procedures should be used</w:t>
      </w:r>
    </w:p>
    <w:p w14:paraId="26BE4434" w14:textId="77777777" w:rsidR="008B41E8" w:rsidRPr="00EB6A26" w:rsidRDefault="008B41E8" w:rsidP="008B41E8">
      <w:pPr>
        <w:pStyle w:val="ListParagraph"/>
        <w:ind w:left="360" w:firstLine="0"/>
        <w:jc w:val="both"/>
        <w:rPr>
          <w:rFonts w:cs="Arial"/>
          <w:b/>
        </w:rPr>
      </w:pPr>
    </w:p>
    <w:p w14:paraId="6C4B4027" w14:textId="77777777" w:rsidR="008B41E8" w:rsidRPr="00DF420D" w:rsidRDefault="008B41E8" w:rsidP="008B41E8">
      <w:pPr>
        <w:pStyle w:val="ListParagraph"/>
        <w:numPr>
          <w:ilvl w:val="0"/>
          <w:numId w:val="42"/>
        </w:numPr>
        <w:spacing w:after="200"/>
        <w:jc w:val="both"/>
        <w:rPr>
          <w:rFonts w:cs="Arial"/>
          <w:sz w:val="22"/>
        </w:rPr>
      </w:pPr>
      <w:r>
        <w:rPr>
          <w:rFonts w:cs="Arial"/>
          <w:sz w:val="22"/>
        </w:rPr>
        <w:t xml:space="preserve">Safeguarding - </w:t>
      </w:r>
      <w:r w:rsidRPr="00DF420D">
        <w:rPr>
          <w:rFonts w:cs="Arial"/>
          <w:sz w:val="22"/>
        </w:rPr>
        <w:t>the WMG Academy’s Designated Senior Person for Child Protection should be notified too</w:t>
      </w:r>
      <w:r>
        <w:rPr>
          <w:rFonts w:cs="Arial"/>
          <w:sz w:val="22"/>
        </w:rPr>
        <w:t>.</w:t>
      </w:r>
      <w:r w:rsidRPr="00DF420D">
        <w:rPr>
          <w:rFonts w:cs="Arial"/>
          <w:sz w:val="22"/>
        </w:rPr>
        <w:t xml:space="preserve"> This includes:</w:t>
      </w:r>
    </w:p>
    <w:p w14:paraId="1DE8FA07" w14:textId="77777777" w:rsidR="008B41E8" w:rsidRPr="00DF420D" w:rsidRDefault="008B41E8" w:rsidP="008B41E8">
      <w:pPr>
        <w:numPr>
          <w:ilvl w:val="0"/>
          <w:numId w:val="39"/>
        </w:numPr>
        <w:spacing w:after="0" w:line="240" w:lineRule="auto"/>
        <w:contextualSpacing/>
        <w:jc w:val="both"/>
        <w:rPr>
          <w:rFonts w:cs="Arial"/>
        </w:rPr>
      </w:pPr>
      <w:r w:rsidRPr="00DF420D">
        <w:rPr>
          <w:rFonts w:cs="Arial"/>
        </w:rPr>
        <w:t>physical abuse of a pupil/student</w:t>
      </w:r>
      <w:r>
        <w:rPr>
          <w:rFonts w:cs="Arial"/>
        </w:rPr>
        <w:t>;</w:t>
      </w:r>
    </w:p>
    <w:p w14:paraId="0DCC9AB7" w14:textId="77777777" w:rsidR="008B41E8" w:rsidRPr="00DF420D" w:rsidRDefault="008B41E8" w:rsidP="008B41E8">
      <w:pPr>
        <w:numPr>
          <w:ilvl w:val="0"/>
          <w:numId w:val="39"/>
        </w:numPr>
        <w:spacing w:after="0" w:line="240" w:lineRule="auto"/>
        <w:contextualSpacing/>
        <w:jc w:val="both"/>
        <w:rPr>
          <w:rFonts w:cs="Arial"/>
        </w:rPr>
      </w:pPr>
      <w:r w:rsidRPr="00DF420D">
        <w:rPr>
          <w:rFonts w:cs="Arial"/>
        </w:rPr>
        <w:t>sexual abuse of a pupil/student</w:t>
      </w:r>
      <w:r>
        <w:rPr>
          <w:rFonts w:cs="Arial"/>
        </w:rPr>
        <w:t>;</w:t>
      </w:r>
    </w:p>
    <w:p w14:paraId="7D580C7C" w14:textId="77777777" w:rsidR="008B41E8" w:rsidRPr="00DF420D" w:rsidRDefault="008B41E8" w:rsidP="008B41E8">
      <w:pPr>
        <w:numPr>
          <w:ilvl w:val="0"/>
          <w:numId w:val="39"/>
        </w:numPr>
        <w:spacing w:after="0" w:line="240" w:lineRule="auto"/>
        <w:contextualSpacing/>
        <w:jc w:val="both"/>
        <w:rPr>
          <w:rFonts w:cs="Arial"/>
        </w:rPr>
      </w:pPr>
      <w:r w:rsidRPr="00DF420D">
        <w:rPr>
          <w:rFonts w:cs="Arial"/>
        </w:rPr>
        <w:t>emotional abuse of a pupil/student</w:t>
      </w:r>
      <w:r>
        <w:rPr>
          <w:rFonts w:cs="Arial"/>
        </w:rPr>
        <w:t>;</w:t>
      </w:r>
    </w:p>
    <w:p w14:paraId="35E3DF1E" w14:textId="77777777" w:rsidR="008B41E8" w:rsidRPr="00DF420D" w:rsidRDefault="008B41E8" w:rsidP="008B41E8">
      <w:pPr>
        <w:numPr>
          <w:ilvl w:val="0"/>
          <w:numId w:val="39"/>
        </w:numPr>
        <w:spacing w:after="0" w:line="240" w:lineRule="auto"/>
        <w:contextualSpacing/>
        <w:jc w:val="both"/>
        <w:rPr>
          <w:rFonts w:cs="Arial"/>
        </w:rPr>
      </w:pPr>
      <w:r w:rsidRPr="00DF420D">
        <w:rPr>
          <w:rFonts w:cs="Arial"/>
        </w:rPr>
        <w:t>neglect of a pupil/student</w:t>
      </w:r>
      <w:r>
        <w:rPr>
          <w:rFonts w:cs="Arial"/>
        </w:rPr>
        <w:t>;</w:t>
      </w:r>
    </w:p>
    <w:p w14:paraId="01F3554C" w14:textId="77777777" w:rsidR="008B41E8" w:rsidRDefault="008B41E8" w:rsidP="008B41E8">
      <w:pPr>
        <w:numPr>
          <w:ilvl w:val="0"/>
          <w:numId w:val="39"/>
        </w:numPr>
        <w:spacing w:after="0" w:line="240" w:lineRule="auto"/>
        <w:contextualSpacing/>
        <w:jc w:val="both"/>
        <w:rPr>
          <w:rFonts w:cs="Arial"/>
        </w:rPr>
      </w:pPr>
      <w:proofErr w:type="gramStart"/>
      <w:r w:rsidRPr="00DF420D">
        <w:rPr>
          <w:rFonts w:cs="Arial"/>
        </w:rPr>
        <w:t>an</w:t>
      </w:r>
      <w:proofErr w:type="gramEnd"/>
      <w:r w:rsidRPr="00DF420D">
        <w:rPr>
          <w:rFonts w:cs="Arial"/>
        </w:rPr>
        <w:t xml:space="preserve"> intimate or improper relationship between an adult and a pupil/student</w:t>
      </w:r>
      <w:r>
        <w:rPr>
          <w:rFonts w:cs="Arial"/>
        </w:rPr>
        <w:t>.</w:t>
      </w:r>
    </w:p>
    <w:p w14:paraId="6F1BFE74" w14:textId="77777777" w:rsidR="008B41E8" w:rsidRPr="00EB6A26" w:rsidRDefault="008B41E8" w:rsidP="008B41E8">
      <w:pPr>
        <w:spacing w:after="0" w:line="240" w:lineRule="auto"/>
        <w:ind w:left="720"/>
        <w:contextualSpacing/>
        <w:jc w:val="both"/>
        <w:rPr>
          <w:rFonts w:cs="Arial"/>
        </w:rPr>
      </w:pPr>
    </w:p>
    <w:p w14:paraId="1FFD8AAD" w14:textId="77777777" w:rsidR="008B41E8" w:rsidRPr="00DF420D" w:rsidRDefault="008B41E8" w:rsidP="008B41E8">
      <w:pPr>
        <w:pStyle w:val="ListParagraph"/>
        <w:numPr>
          <w:ilvl w:val="0"/>
          <w:numId w:val="42"/>
        </w:numPr>
        <w:spacing w:after="200"/>
        <w:jc w:val="both"/>
        <w:rPr>
          <w:rFonts w:cs="Arial"/>
          <w:sz w:val="22"/>
        </w:rPr>
      </w:pPr>
      <w:r w:rsidRPr="00DF420D">
        <w:rPr>
          <w:rFonts w:cs="Arial"/>
          <w:sz w:val="22"/>
        </w:rPr>
        <w:t xml:space="preserve">Concerns about a colleague’s </w:t>
      </w:r>
      <w:r w:rsidRPr="00DF420D">
        <w:rPr>
          <w:rFonts w:cs="Arial"/>
          <w:b/>
          <w:sz w:val="22"/>
        </w:rPr>
        <w:t>professional capability</w:t>
      </w:r>
      <w:r w:rsidRPr="00DF420D">
        <w:rPr>
          <w:rFonts w:cs="Arial"/>
          <w:sz w:val="22"/>
        </w:rPr>
        <w:t xml:space="preserve"> should </w:t>
      </w:r>
      <w:r w:rsidRPr="00DF420D">
        <w:rPr>
          <w:rFonts w:cs="Arial"/>
          <w:b/>
          <w:sz w:val="22"/>
        </w:rPr>
        <w:t xml:space="preserve">not </w:t>
      </w:r>
      <w:r w:rsidRPr="00DF420D">
        <w:rPr>
          <w:rFonts w:cs="Arial"/>
          <w:sz w:val="22"/>
        </w:rPr>
        <w:t>be dealt with using this procedure but under capability procedures.</w:t>
      </w:r>
    </w:p>
    <w:p w14:paraId="5CBDD3DB" w14:textId="77777777" w:rsidR="008B41E8" w:rsidRPr="00DF420D" w:rsidRDefault="008B41E8" w:rsidP="008B41E8">
      <w:pPr>
        <w:pStyle w:val="ListParagraph"/>
        <w:numPr>
          <w:ilvl w:val="0"/>
          <w:numId w:val="42"/>
        </w:numPr>
        <w:spacing w:after="200"/>
        <w:jc w:val="both"/>
        <w:rPr>
          <w:rFonts w:cs="Arial"/>
          <w:sz w:val="22"/>
        </w:rPr>
      </w:pPr>
      <w:r w:rsidRPr="00DF420D">
        <w:rPr>
          <w:rFonts w:cs="Arial"/>
          <w:sz w:val="22"/>
        </w:rPr>
        <w:t>If an employee is concerned that his/her own contract has been, or is likely to be, broken he/she should use the academy’s Grievance procedures.</w:t>
      </w:r>
    </w:p>
    <w:p w14:paraId="79755D8F" w14:textId="77777777" w:rsidR="008B41E8" w:rsidRPr="00EB6A26" w:rsidRDefault="008B41E8" w:rsidP="008B41E8">
      <w:pPr>
        <w:pStyle w:val="ListParagraph"/>
        <w:numPr>
          <w:ilvl w:val="0"/>
          <w:numId w:val="42"/>
        </w:numPr>
        <w:spacing w:after="0"/>
        <w:jc w:val="both"/>
        <w:rPr>
          <w:rFonts w:cs="Arial"/>
          <w:sz w:val="22"/>
        </w:rPr>
      </w:pPr>
      <w:r>
        <w:rPr>
          <w:rFonts w:cs="Arial"/>
          <w:sz w:val="22"/>
        </w:rPr>
        <w:t>T</w:t>
      </w:r>
      <w:r w:rsidRPr="00DF420D">
        <w:rPr>
          <w:rFonts w:cs="Arial"/>
          <w:sz w:val="22"/>
        </w:rPr>
        <w:t xml:space="preserve">his procedure is not designed to replace or be used as an alternative to the grievance procedure, which should be used where an employee is only aggrieved about his/her own situation. </w:t>
      </w:r>
    </w:p>
    <w:p w14:paraId="26933175" w14:textId="77777777" w:rsidR="008B41E8" w:rsidRDefault="008B41E8" w:rsidP="008B41E8">
      <w:pPr>
        <w:pStyle w:val="ListParagraph"/>
        <w:numPr>
          <w:ilvl w:val="0"/>
          <w:numId w:val="42"/>
        </w:numPr>
        <w:spacing w:after="0"/>
        <w:jc w:val="both"/>
        <w:rPr>
          <w:rFonts w:cs="Arial"/>
          <w:sz w:val="22"/>
        </w:rPr>
      </w:pPr>
      <w:r w:rsidRPr="00DF420D">
        <w:rPr>
          <w:rFonts w:cs="Arial"/>
          <w:sz w:val="22"/>
        </w:rPr>
        <w:t>Nor should this policy apply where the employee simply disagrees with the way the academy is run.</w:t>
      </w:r>
    </w:p>
    <w:p w14:paraId="77DD2EBE" w14:textId="77777777" w:rsidR="008B41E8" w:rsidRPr="00EB6A26" w:rsidRDefault="008B41E8" w:rsidP="008B41E8">
      <w:pPr>
        <w:pStyle w:val="ListParagraph"/>
        <w:spacing w:after="0"/>
        <w:ind w:left="360" w:firstLine="0"/>
        <w:jc w:val="both"/>
        <w:rPr>
          <w:rFonts w:cs="Arial"/>
          <w:sz w:val="22"/>
        </w:rPr>
      </w:pPr>
    </w:p>
    <w:p w14:paraId="7B5715AC" w14:textId="77777777" w:rsidR="008B41E8" w:rsidRDefault="008B41E8" w:rsidP="008B41E8">
      <w:pPr>
        <w:pStyle w:val="ListParagraph"/>
        <w:numPr>
          <w:ilvl w:val="0"/>
          <w:numId w:val="45"/>
        </w:numPr>
        <w:spacing w:after="200"/>
        <w:jc w:val="both"/>
        <w:rPr>
          <w:rFonts w:cs="Arial"/>
          <w:b/>
          <w:sz w:val="22"/>
        </w:rPr>
      </w:pPr>
      <w:r>
        <w:rPr>
          <w:rFonts w:cs="Arial"/>
          <w:b/>
          <w:sz w:val="22"/>
        </w:rPr>
        <w:lastRenderedPageBreak/>
        <w:t xml:space="preserve">  </w:t>
      </w:r>
      <w:r>
        <w:rPr>
          <w:rFonts w:cs="Arial"/>
          <w:b/>
          <w:sz w:val="22"/>
        </w:rPr>
        <w:tab/>
      </w:r>
      <w:r w:rsidRPr="00DF420D">
        <w:rPr>
          <w:rFonts w:cs="Arial"/>
          <w:b/>
          <w:sz w:val="22"/>
        </w:rPr>
        <w:t>Underlying principles</w:t>
      </w:r>
    </w:p>
    <w:p w14:paraId="56E761FE" w14:textId="77777777" w:rsidR="008B41E8" w:rsidRPr="00DF420D" w:rsidRDefault="008B41E8" w:rsidP="008B41E8">
      <w:pPr>
        <w:pStyle w:val="ListParagraph"/>
        <w:spacing w:after="200"/>
        <w:ind w:left="360" w:firstLine="0"/>
        <w:jc w:val="both"/>
        <w:rPr>
          <w:rFonts w:cs="Arial"/>
          <w:b/>
          <w:sz w:val="22"/>
        </w:rPr>
      </w:pPr>
    </w:p>
    <w:p w14:paraId="05A72684" w14:textId="20F4CF1B" w:rsidR="008B41E8" w:rsidRPr="00DF420D" w:rsidRDefault="008B41E8" w:rsidP="008B41E8">
      <w:pPr>
        <w:pStyle w:val="ListParagraph"/>
        <w:numPr>
          <w:ilvl w:val="0"/>
          <w:numId w:val="43"/>
        </w:numPr>
        <w:spacing w:after="200"/>
        <w:jc w:val="both"/>
        <w:rPr>
          <w:rFonts w:cs="Arial"/>
          <w:sz w:val="22"/>
        </w:rPr>
      </w:pPr>
      <w:r w:rsidRPr="00DF420D">
        <w:rPr>
          <w:rFonts w:cs="Arial"/>
          <w:sz w:val="22"/>
        </w:rPr>
        <w:t>The WMG Academy for Young Engineers</w:t>
      </w:r>
      <w:r w:rsidR="008340C4">
        <w:rPr>
          <w:rFonts w:cs="Arial"/>
          <w:sz w:val="22"/>
        </w:rPr>
        <w:t xml:space="preserve"> Trust</w:t>
      </w:r>
      <w:r w:rsidRPr="00DF420D">
        <w:rPr>
          <w:rFonts w:cs="Arial"/>
          <w:sz w:val="22"/>
        </w:rPr>
        <w:t xml:space="preserve"> is committed to good practice and high standards and wants to be supportive of employees and others who this policy covers.</w:t>
      </w:r>
    </w:p>
    <w:p w14:paraId="787D563D" w14:textId="04C2F443" w:rsidR="008B41E8" w:rsidRPr="00DF420D" w:rsidRDefault="008B41E8" w:rsidP="008B41E8">
      <w:pPr>
        <w:pStyle w:val="ListParagraph"/>
        <w:numPr>
          <w:ilvl w:val="0"/>
          <w:numId w:val="43"/>
        </w:numPr>
        <w:spacing w:after="200"/>
        <w:jc w:val="both"/>
        <w:rPr>
          <w:rFonts w:cs="Arial"/>
          <w:sz w:val="22"/>
        </w:rPr>
      </w:pPr>
      <w:r w:rsidRPr="00DF420D">
        <w:rPr>
          <w:rFonts w:cs="Arial"/>
          <w:sz w:val="22"/>
        </w:rPr>
        <w:t xml:space="preserve">The </w:t>
      </w:r>
      <w:r w:rsidR="008340C4">
        <w:rPr>
          <w:rFonts w:cs="Arial"/>
          <w:sz w:val="22"/>
        </w:rPr>
        <w:t>Trust</w:t>
      </w:r>
      <w:r w:rsidRPr="00DF420D">
        <w:rPr>
          <w:rFonts w:cs="Arial"/>
          <w:sz w:val="22"/>
        </w:rPr>
        <w:t xml:space="preserve"> </w:t>
      </w:r>
      <w:proofErr w:type="spellStart"/>
      <w:r w:rsidRPr="00DF420D">
        <w:rPr>
          <w:rFonts w:cs="Arial"/>
          <w:sz w:val="22"/>
        </w:rPr>
        <w:t>recognises</w:t>
      </w:r>
      <w:proofErr w:type="spellEnd"/>
      <w:r w:rsidRPr="00DF420D">
        <w:rPr>
          <w:rFonts w:cs="Arial"/>
          <w:sz w:val="22"/>
        </w:rPr>
        <w:t xml:space="preserve"> that the decision to report a concern can be a difficult one to make. If you raise a concern</w:t>
      </w:r>
      <w:r>
        <w:rPr>
          <w:rFonts w:cs="Arial"/>
          <w:sz w:val="22"/>
        </w:rPr>
        <w:t>,</w:t>
      </w:r>
      <w:r w:rsidRPr="00DF420D">
        <w:rPr>
          <w:rFonts w:cs="Arial"/>
          <w:sz w:val="22"/>
        </w:rPr>
        <w:t xml:space="preserve"> based on reasonable belief and in good</w:t>
      </w:r>
      <w:r>
        <w:rPr>
          <w:rFonts w:cs="Arial"/>
          <w:sz w:val="22"/>
        </w:rPr>
        <w:t xml:space="preserve"> faith, then the </w:t>
      </w:r>
      <w:r w:rsidR="008340C4">
        <w:rPr>
          <w:rFonts w:cs="Arial"/>
          <w:sz w:val="22"/>
        </w:rPr>
        <w:t>trust</w:t>
      </w:r>
      <w:r>
        <w:rPr>
          <w:rFonts w:cs="Arial"/>
          <w:sz w:val="22"/>
        </w:rPr>
        <w:t xml:space="preserve"> believes</w:t>
      </w:r>
      <w:r w:rsidRPr="00DF420D">
        <w:rPr>
          <w:rFonts w:cs="Arial"/>
          <w:sz w:val="22"/>
        </w:rPr>
        <w:t xml:space="preserve"> that you should have nothing to fear in doing your duty to your employer and the public</w:t>
      </w:r>
      <w:r>
        <w:rPr>
          <w:rFonts w:cs="Arial"/>
          <w:sz w:val="22"/>
        </w:rPr>
        <w:t>.  U</w:t>
      </w:r>
      <w:r w:rsidRPr="00DF420D">
        <w:rPr>
          <w:rFonts w:cs="Arial"/>
          <w:sz w:val="22"/>
        </w:rPr>
        <w:t xml:space="preserve">nder the Public Interest Disclosure Act 1998 </w:t>
      </w:r>
      <w:r>
        <w:rPr>
          <w:rFonts w:cs="Arial"/>
          <w:sz w:val="22"/>
        </w:rPr>
        <w:t xml:space="preserve">you </w:t>
      </w:r>
      <w:r w:rsidRPr="00DF420D">
        <w:rPr>
          <w:rFonts w:cs="Arial"/>
          <w:sz w:val="22"/>
        </w:rPr>
        <w:t>will</w:t>
      </w:r>
      <w:r>
        <w:rPr>
          <w:rFonts w:cs="Arial"/>
          <w:sz w:val="22"/>
        </w:rPr>
        <w:t xml:space="preserve"> be </w:t>
      </w:r>
      <w:r w:rsidRPr="00DF420D">
        <w:rPr>
          <w:rFonts w:cs="Arial"/>
          <w:sz w:val="22"/>
        </w:rPr>
        <w:t>protect</w:t>
      </w:r>
      <w:r>
        <w:rPr>
          <w:rFonts w:cs="Arial"/>
          <w:sz w:val="22"/>
        </w:rPr>
        <w:t xml:space="preserve">ed </w:t>
      </w:r>
      <w:r w:rsidRPr="00DF420D">
        <w:rPr>
          <w:rFonts w:cs="Arial"/>
          <w:sz w:val="22"/>
        </w:rPr>
        <w:t xml:space="preserve">from dismissal or other detriment. The </w:t>
      </w:r>
      <w:r w:rsidR="008340C4">
        <w:rPr>
          <w:rFonts w:cs="Arial"/>
          <w:sz w:val="22"/>
        </w:rPr>
        <w:t>trust</w:t>
      </w:r>
      <w:r w:rsidRPr="00DF420D">
        <w:rPr>
          <w:rFonts w:cs="Arial"/>
          <w:sz w:val="22"/>
        </w:rPr>
        <w:t xml:space="preserve"> will not tolerate harassment and/or </w:t>
      </w:r>
      <w:proofErr w:type="spellStart"/>
      <w:r w:rsidRPr="00DF420D">
        <w:rPr>
          <w:rFonts w:cs="Arial"/>
          <w:sz w:val="22"/>
        </w:rPr>
        <w:t>victimisation</w:t>
      </w:r>
      <w:proofErr w:type="spellEnd"/>
      <w:r w:rsidRPr="00DF420D">
        <w:rPr>
          <w:rFonts w:cs="Arial"/>
          <w:sz w:val="22"/>
        </w:rPr>
        <w:t xml:space="preserve"> of any employee raising concerns. </w:t>
      </w:r>
      <w:proofErr w:type="spellStart"/>
      <w:r w:rsidRPr="00DF420D">
        <w:rPr>
          <w:rFonts w:cs="Arial"/>
          <w:sz w:val="22"/>
        </w:rPr>
        <w:t>Victimisation</w:t>
      </w:r>
      <w:proofErr w:type="spellEnd"/>
      <w:r w:rsidRPr="00DF420D">
        <w:rPr>
          <w:rFonts w:cs="Arial"/>
          <w:sz w:val="22"/>
        </w:rPr>
        <w:t xml:space="preserve"> of an individual for raising a qualified disclosure will be a disciplinary offence.</w:t>
      </w:r>
    </w:p>
    <w:p w14:paraId="7B625C84" w14:textId="77777777" w:rsidR="008B41E8" w:rsidRPr="00DF420D" w:rsidRDefault="008B41E8" w:rsidP="008B41E8">
      <w:pPr>
        <w:pStyle w:val="ListParagraph"/>
        <w:numPr>
          <w:ilvl w:val="0"/>
          <w:numId w:val="43"/>
        </w:numPr>
        <w:spacing w:after="200"/>
        <w:jc w:val="both"/>
        <w:rPr>
          <w:rFonts w:cs="Arial"/>
          <w:sz w:val="22"/>
        </w:rPr>
      </w:pPr>
      <w:r w:rsidRPr="00DF420D">
        <w:rPr>
          <w:rFonts w:cs="Arial"/>
          <w:sz w:val="22"/>
        </w:rPr>
        <w:t xml:space="preserve"> If your concern is not confirmed by the investigation, no action will be taken against you. </w:t>
      </w:r>
    </w:p>
    <w:p w14:paraId="078425A0" w14:textId="77777777" w:rsidR="008B41E8" w:rsidRPr="00DF420D" w:rsidRDefault="008B41E8" w:rsidP="008B41E8">
      <w:pPr>
        <w:pStyle w:val="ListParagraph"/>
        <w:numPr>
          <w:ilvl w:val="0"/>
          <w:numId w:val="43"/>
        </w:numPr>
        <w:spacing w:after="200"/>
        <w:jc w:val="both"/>
        <w:rPr>
          <w:rFonts w:cs="Arial"/>
          <w:sz w:val="22"/>
        </w:rPr>
      </w:pPr>
      <w:r>
        <w:rPr>
          <w:rFonts w:cs="Arial"/>
          <w:sz w:val="22"/>
        </w:rPr>
        <w:t>If</w:t>
      </w:r>
      <w:r w:rsidRPr="00DF420D">
        <w:rPr>
          <w:rFonts w:cs="Arial"/>
          <w:sz w:val="22"/>
        </w:rPr>
        <w:t xml:space="preserve"> you make and allegation frivolously, maliciously or for personal gain, disciplinary action may be taken against you.</w:t>
      </w:r>
    </w:p>
    <w:p w14:paraId="73A40D5D" w14:textId="77777777" w:rsidR="008B41E8" w:rsidRPr="00DF420D" w:rsidRDefault="008B41E8" w:rsidP="008B41E8">
      <w:pPr>
        <w:pStyle w:val="ListParagraph"/>
        <w:numPr>
          <w:ilvl w:val="0"/>
          <w:numId w:val="43"/>
        </w:numPr>
        <w:spacing w:after="200"/>
        <w:jc w:val="both"/>
        <w:rPr>
          <w:rFonts w:cs="Arial"/>
          <w:sz w:val="22"/>
        </w:rPr>
      </w:pPr>
      <w:r w:rsidRPr="00DF420D">
        <w:rPr>
          <w:rFonts w:cs="Arial"/>
          <w:sz w:val="22"/>
        </w:rPr>
        <w:t>An instruction to cover up wrongdoing is in itself a disciplinary offence. If told not to raise or pursue any concern, even by a person in authority, employees should not agree to remain silent if it falls within the remit of this policy.</w:t>
      </w:r>
    </w:p>
    <w:p w14:paraId="77A1A95C" w14:textId="77777777" w:rsidR="008B41E8" w:rsidRPr="00DF420D" w:rsidRDefault="008B41E8" w:rsidP="008B41E8">
      <w:pPr>
        <w:pStyle w:val="ListParagraph"/>
        <w:numPr>
          <w:ilvl w:val="0"/>
          <w:numId w:val="43"/>
        </w:numPr>
        <w:spacing w:after="200"/>
        <w:jc w:val="both"/>
        <w:rPr>
          <w:rFonts w:cs="Arial"/>
          <w:sz w:val="22"/>
        </w:rPr>
      </w:pPr>
      <w:r w:rsidRPr="00DF420D">
        <w:rPr>
          <w:rFonts w:cs="Arial"/>
          <w:sz w:val="22"/>
        </w:rPr>
        <w:t>Where a disclosure is merely an expression of opinion that fails to show that a legal obligation has been or is likely to be breached, it cannot amount to a protected or qualifying disclosure for the purpo</w:t>
      </w:r>
      <w:r>
        <w:rPr>
          <w:rFonts w:cs="Arial"/>
          <w:sz w:val="22"/>
        </w:rPr>
        <w:t>ses of the whistle</w:t>
      </w:r>
      <w:r w:rsidRPr="00DF420D">
        <w:rPr>
          <w:rFonts w:cs="Arial"/>
          <w:sz w:val="22"/>
        </w:rPr>
        <w:t>blowing legislation</w:t>
      </w:r>
    </w:p>
    <w:p w14:paraId="0FEB22F0" w14:textId="5C9B2925" w:rsidR="008B41E8" w:rsidRPr="00F87126" w:rsidRDefault="008B41E8" w:rsidP="008B41E8">
      <w:pPr>
        <w:pStyle w:val="ListParagraph"/>
        <w:numPr>
          <w:ilvl w:val="0"/>
          <w:numId w:val="43"/>
        </w:numPr>
        <w:spacing w:after="200"/>
        <w:jc w:val="both"/>
        <w:rPr>
          <w:rFonts w:cs="Arial"/>
          <w:b/>
          <w:sz w:val="22"/>
        </w:rPr>
      </w:pPr>
      <w:r w:rsidRPr="00DF420D">
        <w:rPr>
          <w:rFonts w:cs="Arial"/>
          <w:sz w:val="22"/>
        </w:rPr>
        <w:t xml:space="preserve">Financial regulations require that any suspicion of fraud, corruption or other financial irregularity is reported to Internal Audit for possible investigation.  Normally an employee must first report any suspicion of such an irregularity to </w:t>
      </w:r>
      <w:r w:rsidR="008340C4" w:rsidRPr="00DF420D">
        <w:rPr>
          <w:rFonts w:cs="Arial"/>
          <w:sz w:val="22"/>
        </w:rPr>
        <w:t xml:space="preserve">the </w:t>
      </w:r>
      <w:r w:rsidR="008340C4">
        <w:rPr>
          <w:rFonts w:cs="Arial"/>
          <w:sz w:val="22"/>
        </w:rPr>
        <w:t>Executive</w:t>
      </w:r>
      <w:r>
        <w:rPr>
          <w:rFonts w:cs="Arial"/>
          <w:sz w:val="22"/>
        </w:rPr>
        <w:t xml:space="preserve"> </w:t>
      </w:r>
      <w:r w:rsidRPr="00DF420D">
        <w:rPr>
          <w:rFonts w:cs="Arial"/>
          <w:sz w:val="22"/>
        </w:rPr>
        <w:t>Principal</w:t>
      </w:r>
      <w:r>
        <w:rPr>
          <w:rFonts w:cs="Arial"/>
          <w:sz w:val="22"/>
        </w:rPr>
        <w:t xml:space="preserve"> or Chair of </w:t>
      </w:r>
      <w:r w:rsidR="008340C4">
        <w:rPr>
          <w:rFonts w:cs="Arial"/>
          <w:sz w:val="22"/>
        </w:rPr>
        <w:t>the Trust.</w:t>
      </w:r>
    </w:p>
    <w:p w14:paraId="4AA8160C" w14:textId="77777777" w:rsidR="008B41E8" w:rsidRPr="00DF420D" w:rsidRDefault="008B41E8" w:rsidP="008B41E8">
      <w:pPr>
        <w:pStyle w:val="ListParagraph"/>
        <w:spacing w:after="200"/>
        <w:ind w:left="360" w:firstLine="0"/>
        <w:jc w:val="both"/>
        <w:rPr>
          <w:rFonts w:cs="Arial"/>
          <w:b/>
          <w:sz w:val="22"/>
        </w:rPr>
      </w:pPr>
    </w:p>
    <w:p w14:paraId="2D62A16D" w14:textId="77777777" w:rsidR="008B41E8" w:rsidRPr="00DF420D" w:rsidRDefault="008B41E8" w:rsidP="008B41E8">
      <w:pPr>
        <w:pStyle w:val="ListParagraph"/>
        <w:numPr>
          <w:ilvl w:val="0"/>
          <w:numId w:val="45"/>
        </w:numPr>
        <w:spacing w:after="200"/>
        <w:jc w:val="both"/>
        <w:rPr>
          <w:rFonts w:cs="Arial"/>
          <w:b/>
          <w:sz w:val="22"/>
        </w:rPr>
      </w:pPr>
      <w:r>
        <w:rPr>
          <w:rFonts w:cs="Arial"/>
          <w:b/>
          <w:sz w:val="22"/>
        </w:rPr>
        <w:t xml:space="preserve">  </w:t>
      </w:r>
      <w:r>
        <w:rPr>
          <w:rFonts w:cs="Arial"/>
          <w:b/>
          <w:sz w:val="22"/>
        </w:rPr>
        <w:tab/>
      </w:r>
      <w:r w:rsidRPr="00DF420D">
        <w:rPr>
          <w:rFonts w:cs="Arial"/>
          <w:b/>
          <w:sz w:val="22"/>
        </w:rPr>
        <w:t>Confidentiality</w:t>
      </w:r>
    </w:p>
    <w:p w14:paraId="3BD7AEFC" w14:textId="478653B9" w:rsidR="008B41E8" w:rsidRDefault="008B41E8" w:rsidP="008B41E8">
      <w:pPr>
        <w:spacing w:line="240" w:lineRule="auto"/>
        <w:contextualSpacing/>
        <w:jc w:val="both"/>
        <w:rPr>
          <w:rFonts w:cs="Arial"/>
        </w:rPr>
      </w:pPr>
      <w:r w:rsidRPr="00DF420D">
        <w:rPr>
          <w:rFonts w:cs="Arial"/>
        </w:rPr>
        <w:t xml:space="preserve">All concerns will be treated in confidence and every effort will be made not to reveal the identity of the person raising the concern, if so requested. If the WMG Academy </w:t>
      </w:r>
      <w:r w:rsidR="008340C4">
        <w:rPr>
          <w:rFonts w:cs="Arial"/>
        </w:rPr>
        <w:t xml:space="preserve">Trust </w:t>
      </w:r>
      <w:r w:rsidRPr="00DF420D">
        <w:rPr>
          <w:rFonts w:cs="Arial"/>
        </w:rPr>
        <w:t>is not able to resolve the concern without revealing the individual’s identity, then this will be discussed with them</w:t>
      </w:r>
      <w:r>
        <w:rPr>
          <w:rFonts w:cs="Arial"/>
        </w:rPr>
        <w:t>.</w:t>
      </w:r>
    </w:p>
    <w:p w14:paraId="5C60D1F6" w14:textId="77777777" w:rsidR="008B41E8" w:rsidRPr="00DF420D" w:rsidRDefault="008B41E8" w:rsidP="008B41E8">
      <w:pPr>
        <w:pStyle w:val="ListParagraph"/>
        <w:numPr>
          <w:ilvl w:val="0"/>
          <w:numId w:val="45"/>
        </w:numPr>
        <w:spacing w:after="200"/>
        <w:jc w:val="both"/>
        <w:rPr>
          <w:rFonts w:cs="Arial"/>
          <w:b/>
          <w:sz w:val="22"/>
        </w:rPr>
      </w:pPr>
      <w:r>
        <w:rPr>
          <w:rFonts w:cs="Arial"/>
          <w:b/>
          <w:sz w:val="22"/>
        </w:rPr>
        <w:tab/>
      </w:r>
      <w:r w:rsidRPr="00DF420D">
        <w:rPr>
          <w:rFonts w:cs="Arial"/>
          <w:b/>
          <w:sz w:val="22"/>
        </w:rPr>
        <w:t>Anonymous Allegations</w:t>
      </w:r>
    </w:p>
    <w:p w14:paraId="0963B119" w14:textId="0746AD89" w:rsidR="008B41E8" w:rsidRPr="00DF420D" w:rsidRDefault="008B41E8" w:rsidP="008B41E8">
      <w:pPr>
        <w:spacing w:line="240" w:lineRule="auto"/>
        <w:contextualSpacing/>
        <w:jc w:val="both"/>
        <w:rPr>
          <w:rFonts w:cs="Arial"/>
        </w:rPr>
      </w:pPr>
      <w:r w:rsidRPr="00DF420D">
        <w:rPr>
          <w:rFonts w:cs="Arial"/>
        </w:rPr>
        <w:t xml:space="preserve">Concerns expressed anonymously are much less powerful but may be considered by the WMG Academy </w:t>
      </w:r>
      <w:r w:rsidR="008340C4">
        <w:rPr>
          <w:rFonts w:cs="Arial"/>
        </w:rPr>
        <w:t xml:space="preserve">Trust </w:t>
      </w:r>
      <w:r w:rsidRPr="00DF420D">
        <w:rPr>
          <w:rFonts w:cs="Arial"/>
        </w:rPr>
        <w:t>taking into account:</w:t>
      </w:r>
    </w:p>
    <w:p w14:paraId="508DC0AE" w14:textId="77777777" w:rsidR="008B41E8" w:rsidRPr="00DF420D" w:rsidRDefault="008B41E8" w:rsidP="008B41E8">
      <w:pPr>
        <w:pStyle w:val="ListParagraph"/>
        <w:numPr>
          <w:ilvl w:val="0"/>
          <w:numId w:val="44"/>
        </w:numPr>
        <w:spacing w:after="0"/>
        <w:jc w:val="both"/>
        <w:rPr>
          <w:rFonts w:cs="Arial"/>
          <w:sz w:val="22"/>
        </w:rPr>
      </w:pPr>
      <w:r w:rsidRPr="00DF420D">
        <w:rPr>
          <w:rFonts w:cs="Arial"/>
          <w:sz w:val="22"/>
        </w:rPr>
        <w:t>The seriousness of the issues raised</w:t>
      </w:r>
      <w:r>
        <w:rPr>
          <w:rFonts w:cs="Arial"/>
          <w:sz w:val="22"/>
        </w:rPr>
        <w:t>;</w:t>
      </w:r>
    </w:p>
    <w:p w14:paraId="6925C0AE" w14:textId="77777777" w:rsidR="008B41E8" w:rsidRPr="00DF420D" w:rsidRDefault="008B41E8" w:rsidP="008B41E8">
      <w:pPr>
        <w:pStyle w:val="ListParagraph"/>
        <w:numPr>
          <w:ilvl w:val="0"/>
          <w:numId w:val="44"/>
        </w:numPr>
        <w:spacing w:after="0"/>
        <w:ind w:hanging="357"/>
        <w:jc w:val="both"/>
        <w:rPr>
          <w:rFonts w:cs="Arial"/>
          <w:sz w:val="22"/>
        </w:rPr>
      </w:pPr>
      <w:r w:rsidRPr="00DF420D">
        <w:rPr>
          <w:rFonts w:cs="Arial"/>
          <w:sz w:val="22"/>
        </w:rPr>
        <w:t>The credibility of the concern</w:t>
      </w:r>
      <w:r>
        <w:rPr>
          <w:rFonts w:cs="Arial"/>
          <w:sz w:val="22"/>
        </w:rPr>
        <w:t>;</w:t>
      </w:r>
    </w:p>
    <w:p w14:paraId="685DBB82" w14:textId="77777777" w:rsidR="008B41E8" w:rsidRPr="00DF420D" w:rsidRDefault="008B41E8" w:rsidP="008B41E8">
      <w:pPr>
        <w:pStyle w:val="ListParagraph"/>
        <w:numPr>
          <w:ilvl w:val="0"/>
          <w:numId w:val="44"/>
        </w:numPr>
        <w:spacing w:after="0"/>
        <w:ind w:hanging="357"/>
        <w:jc w:val="both"/>
        <w:rPr>
          <w:rFonts w:cs="Arial"/>
          <w:sz w:val="22"/>
        </w:rPr>
      </w:pPr>
      <w:r w:rsidRPr="00DF420D">
        <w:rPr>
          <w:rFonts w:cs="Arial"/>
          <w:sz w:val="22"/>
        </w:rPr>
        <w:t>The likelihood of confirming the allegation from attributable sources</w:t>
      </w:r>
      <w:r>
        <w:rPr>
          <w:rFonts w:cs="Arial"/>
          <w:sz w:val="22"/>
        </w:rPr>
        <w:t>.</w:t>
      </w:r>
    </w:p>
    <w:p w14:paraId="6EEF646F" w14:textId="77777777" w:rsidR="008B41E8" w:rsidRPr="00DF420D" w:rsidRDefault="008B41E8" w:rsidP="008B41E8">
      <w:pPr>
        <w:spacing w:after="0" w:line="240" w:lineRule="auto"/>
        <w:contextualSpacing/>
        <w:jc w:val="both"/>
        <w:rPr>
          <w:rFonts w:cs="Arial"/>
        </w:rPr>
      </w:pPr>
    </w:p>
    <w:p w14:paraId="70ECD9FA" w14:textId="7D03EBF8" w:rsidR="008B41E8" w:rsidRDefault="008340C4" w:rsidP="008B41E8">
      <w:pPr>
        <w:spacing w:after="0" w:line="240" w:lineRule="auto"/>
        <w:contextualSpacing/>
        <w:jc w:val="both"/>
        <w:rPr>
          <w:rFonts w:cs="Arial"/>
        </w:rPr>
      </w:pPr>
      <w:r>
        <w:rPr>
          <w:rFonts w:cs="Arial"/>
        </w:rPr>
        <w:t>The Chair of Trust</w:t>
      </w:r>
      <w:r w:rsidR="008B41E8" w:rsidRPr="00DF420D">
        <w:rPr>
          <w:rFonts w:cs="Arial"/>
        </w:rPr>
        <w:t xml:space="preserve"> will decide in each case whether a complaint made anonymously will be investigated.</w:t>
      </w:r>
    </w:p>
    <w:p w14:paraId="49733C23" w14:textId="77777777" w:rsidR="008B41E8" w:rsidRPr="00445F4D" w:rsidRDefault="008B41E8" w:rsidP="008B41E8">
      <w:pPr>
        <w:spacing w:after="0" w:line="240" w:lineRule="auto"/>
        <w:contextualSpacing/>
        <w:jc w:val="both"/>
        <w:rPr>
          <w:rFonts w:cs="Arial"/>
        </w:rPr>
      </w:pPr>
    </w:p>
    <w:p w14:paraId="64D6EF57" w14:textId="77777777" w:rsidR="008B41E8" w:rsidRPr="00445F4D" w:rsidRDefault="008B41E8" w:rsidP="008B41E8">
      <w:pPr>
        <w:pStyle w:val="ListParagraph"/>
        <w:numPr>
          <w:ilvl w:val="0"/>
          <w:numId w:val="45"/>
        </w:numPr>
        <w:jc w:val="both"/>
        <w:rPr>
          <w:rFonts w:cs="Arial"/>
          <w:b/>
          <w:sz w:val="22"/>
        </w:rPr>
      </w:pPr>
      <w:r w:rsidRPr="00445F4D">
        <w:rPr>
          <w:rFonts w:cs="Arial"/>
          <w:b/>
          <w:sz w:val="22"/>
        </w:rPr>
        <w:t xml:space="preserve"> </w:t>
      </w:r>
      <w:r w:rsidRPr="00445F4D">
        <w:rPr>
          <w:rFonts w:cs="Arial"/>
          <w:b/>
          <w:sz w:val="22"/>
        </w:rPr>
        <w:tab/>
        <w:t>Procedure</w:t>
      </w:r>
    </w:p>
    <w:p w14:paraId="24A8DAA3" w14:textId="40ED563B" w:rsidR="008B41E8" w:rsidRPr="00445F4D" w:rsidRDefault="008B41E8" w:rsidP="008B41E8">
      <w:pPr>
        <w:spacing w:line="240" w:lineRule="auto"/>
        <w:ind w:left="1440" w:hanging="720"/>
        <w:contextualSpacing/>
        <w:jc w:val="both"/>
        <w:rPr>
          <w:rFonts w:cs="Arial"/>
        </w:rPr>
      </w:pPr>
      <w:r>
        <w:rPr>
          <w:rFonts w:cs="Arial"/>
          <w:b/>
        </w:rPr>
        <w:t xml:space="preserve">7.1  </w:t>
      </w:r>
      <w:r>
        <w:rPr>
          <w:rFonts w:cs="Arial"/>
          <w:b/>
        </w:rPr>
        <w:tab/>
      </w:r>
      <w:r w:rsidRPr="00445F4D">
        <w:rPr>
          <w:rFonts w:cs="Arial"/>
        </w:rPr>
        <w:t>In the first instance, unless the employee reasonably believes the</w:t>
      </w:r>
      <w:r>
        <w:rPr>
          <w:rFonts w:cs="Arial"/>
        </w:rPr>
        <w:t xml:space="preserve"> Executive</w:t>
      </w:r>
      <w:r w:rsidRPr="00445F4D">
        <w:rPr>
          <w:rFonts w:cs="Arial"/>
        </w:rPr>
        <w:t xml:space="preserve"> </w:t>
      </w:r>
      <w:proofErr w:type="gramStart"/>
      <w:r w:rsidRPr="00445F4D">
        <w:rPr>
          <w:rFonts w:cs="Arial"/>
        </w:rPr>
        <w:t xml:space="preserve">Principal </w:t>
      </w:r>
      <w:r>
        <w:rPr>
          <w:rFonts w:cs="Arial"/>
        </w:rPr>
        <w:t xml:space="preserve"> </w:t>
      </w:r>
      <w:r w:rsidRPr="00445F4D">
        <w:rPr>
          <w:rFonts w:cs="Arial"/>
        </w:rPr>
        <w:t>to</w:t>
      </w:r>
      <w:proofErr w:type="gramEnd"/>
      <w:r w:rsidRPr="00445F4D">
        <w:rPr>
          <w:rFonts w:cs="Arial"/>
        </w:rPr>
        <w:t xml:space="preserve"> be involved in the wrongdoing, any concerns should be raised with the</w:t>
      </w:r>
      <w:r>
        <w:rPr>
          <w:rFonts w:cs="Arial"/>
        </w:rPr>
        <w:t xml:space="preserve"> </w:t>
      </w:r>
      <w:r w:rsidR="008340C4">
        <w:rPr>
          <w:rFonts w:cs="Arial"/>
        </w:rPr>
        <w:t>Executive</w:t>
      </w:r>
      <w:r w:rsidRPr="00445F4D">
        <w:rPr>
          <w:rFonts w:cs="Arial"/>
        </w:rPr>
        <w:t xml:space="preserve"> Principal. If they believe the </w:t>
      </w:r>
      <w:r>
        <w:rPr>
          <w:rFonts w:cs="Arial"/>
        </w:rPr>
        <w:t xml:space="preserve">Executive </w:t>
      </w:r>
      <w:r w:rsidRPr="00445F4D">
        <w:rPr>
          <w:rFonts w:cs="Arial"/>
        </w:rPr>
        <w:t>Principal to be involved, then the employee should report their concern</w:t>
      </w:r>
      <w:r>
        <w:rPr>
          <w:rFonts w:cs="Arial"/>
        </w:rPr>
        <w:t>s</w:t>
      </w:r>
      <w:r w:rsidRPr="00445F4D">
        <w:rPr>
          <w:rFonts w:cs="Arial"/>
        </w:rPr>
        <w:t xml:space="preserve"> to the Chair of </w:t>
      </w:r>
      <w:r w:rsidR="008340C4">
        <w:rPr>
          <w:rFonts w:cs="Arial"/>
        </w:rPr>
        <w:t>the Trust</w:t>
      </w:r>
      <w:r w:rsidRPr="00445F4D">
        <w:rPr>
          <w:rFonts w:cs="Arial"/>
        </w:rPr>
        <w:t>.</w:t>
      </w:r>
    </w:p>
    <w:p w14:paraId="7CD8669E" w14:textId="093FE925" w:rsidR="008B41E8" w:rsidRPr="00445F4D" w:rsidRDefault="008B41E8" w:rsidP="008B41E8">
      <w:pPr>
        <w:spacing w:line="240" w:lineRule="auto"/>
        <w:ind w:left="1440" w:hanging="720"/>
        <w:contextualSpacing/>
        <w:jc w:val="both"/>
        <w:rPr>
          <w:rFonts w:cs="Arial"/>
        </w:rPr>
      </w:pPr>
      <w:r w:rsidRPr="00445F4D">
        <w:rPr>
          <w:rFonts w:cs="Arial"/>
          <w:b/>
        </w:rPr>
        <w:t>7.2</w:t>
      </w:r>
      <w:r w:rsidRPr="00445F4D">
        <w:rPr>
          <w:rFonts w:cs="Arial"/>
        </w:rPr>
        <w:tab/>
        <w:t>Initial enquiries will be made to decide whether an investigation is appropriate and if so what form it should take. The overriding principle for the WMG Academy</w:t>
      </w:r>
      <w:r w:rsidR="008340C4">
        <w:rPr>
          <w:rFonts w:cs="Arial"/>
        </w:rPr>
        <w:t xml:space="preserve"> Trust </w:t>
      </w:r>
      <w:r w:rsidRPr="00445F4D">
        <w:rPr>
          <w:rFonts w:cs="Arial"/>
        </w:rPr>
        <w:t xml:space="preserve">will be </w:t>
      </w:r>
      <w:r w:rsidRPr="000667D1">
        <w:rPr>
          <w:rFonts w:cs="Arial"/>
          <w:i/>
        </w:rPr>
        <w:t>‘is it in the public interest</w:t>
      </w:r>
      <w:r>
        <w:rPr>
          <w:rFonts w:cs="Arial"/>
          <w:i/>
        </w:rPr>
        <w:t>?</w:t>
      </w:r>
      <w:proofErr w:type="gramStart"/>
      <w:r w:rsidRPr="000667D1">
        <w:rPr>
          <w:rFonts w:cs="Arial"/>
          <w:i/>
        </w:rPr>
        <w:t>’</w:t>
      </w:r>
      <w:r w:rsidRPr="00445F4D">
        <w:rPr>
          <w:rFonts w:cs="Arial"/>
        </w:rPr>
        <w:t>.</w:t>
      </w:r>
      <w:proofErr w:type="gramEnd"/>
      <w:r w:rsidRPr="00445F4D">
        <w:rPr>
          <w:rFonts w:cs="Arial"/>
        </w:rPr>
        <w:t xml:space="preserve"> </w:t>
      </w:r>
    </w:p>
    <w:p w14:paraId="14E5BF93" w14:textId="1B86991B" w:rsidR="008B41E8" w:rsidRPr="00DF420D" w:rsidRDefault="008B41E8" w:rsidP="008B41E8">
      <w:pPr>
        <w:spacing w:line="240" w:lineRule="auto"/>
        <w:ind w:left="1440" w:hanging="720"/>
        <w:contextualSpacing/>
        <w:jc w:val="both"/>
        <w:rPr>
          <w:rFonts w:cs="Arial"/>
        </w:rPr>
      </w:pPr>
      <w:r w:rsidRPr="00DF420D">
        <w:rPr>
          <w:rFonts w:cs="Arial"/>
          <w:b/>
        </w:rPr>
        <w:lastRenderedPageBreak/>
        <w:t>7.3</w:t>
      </w:r>
      <w:r>
        <w:rPr>
          <w:rFonts w:cs="Arial"/>
        </w:rPr>
        <w:tab/>
      </w:r>
      <w:r w:rsidRPr="00DF420D">
        <w:rPr>
          <w:rFonts w:cs="Arial"/>
        </w:rPr>
        <w:t>Following initial investig</w:t>
      </w:r>
      <w:r w:rsidR="008340C4">
        <w:rPr>
          <w:rFonts w:cs="Arial"/>
        </w:rPr>
        <w:t>ation, the trust</w:t>
      </w:r>
      <w:r>
        <w:rPr>
          <w:rFonts w:cs="Arial"/>
        </w:rPr>
        <w:t xml:space="preserve"> will respond</w:t>
      </w:r>
      <w:r w:rsidRPr="00DF420D">
        <w:rPr>
          <w:rFonts w:cs="Arial"/>
        </w:rPr>
        <w:t xml:space="preserve"> to the concerns raised. Some concerns may be resolved by action agreed with the employee without the need for investigation. If urgent action is required this will be taken before any investigation is conducted.</w:t>
      </w:r>
    </w:p>
    <w:p w14:paraId="4CF32DC3" w14:textId="112FAEEA" w:rsidR="008B41E8" w:rsidRPr="00DF420D" w:rsidRDefault="008B41E8" w:rsidP="008B41E8">
      <w:pPr>
        <w:spacing w:line="240" w:lineRule="auto"/>
        <w:ind w:left="1440" w:hanging="720"/>
        <w:contextualSpacing/>
        <w:jc w:val="both"/>
        <w:rPr>
          <w:rFonts w:cs="Arial"/>
        </w:rPr>
      </w:pPr>
      <w:r w:rsidRPr="00DF420D">
        <w:rPr>
          <w:rFonts w:cs="Arial"/>
          <w:b/>
        </w:rPr>
        <w:t>7.4</w:t>
      </w:r>
      <w:r w:rsidRPr="00DF420D">
        <w:rPr>
          <w:rFonts w:cs="Arial"/>
        </w:rPr>
        <w:tab/>
        <w:t xml:space="preserve">The </w:t>
      </w:r>
      <w:r>
        <w:rPr>
          <w:rFonts w:cs="Arial"/>
        </w:rPr>
        <w:t xml:space="preserve">Executive </w:t>
      </w:r>
      <w:r w:rsidRPr="00DF420D">
        <w:rPr>
          <w:rFonts w:cs="Arial"/>
        </w:rPr>
        <w:t xml:space="preserve">Principal/Chair of </w:t>
      </w:r>
      <w:r w:rsidR="008340C4">
        <w:rPr>
          <w:rFonts w:cs="Arial"/>
        </w:rPr>
        <w:t>Trust</w:t>
      </w:r>
      <w:r w:rsidRPr="00DF420D">
        <w:rPr>
          <w:rFonts w:cs="Arial"/>
        </w:rPr>
        <w:t xml:space="preserve"> will arrange an investigation into the matter (either by investigating the matter themselves or immediately passing the issue to someone in a senior position). The investigation may involve the employee and others involved giving written statements. Any investigation will be carried out in accordance with the principles set out above. The employee’s statement will be taken into account and he/she will be asked to comment on any additional evidence obtained.</w:t>
      </w:r>
    </w:p>
    <w:p w14:paraId="282F76FF" w14:textId="77777777" w:rsidR="008B41E8" w:rsidRPr="00DF420D" w:rsidRDefault="008B41E8" w:rsidP="008B41E8">
      <w:pPr>
        <w:spacing w:line="240" w:lineRule="auto"/>
        <w:ind w:left="1440"/>
        <w:contextualSpacing/>
        <w:jc w:val="both"/>
        <w:rPr>
          <w:rFonts w:cs="Arial"/>
        </w:rPr>
      </w:pPr>
      <w:r w:rsidRPr="00DF420D">
        <w:rPr>
          <w:rFonts w:cs="Arial"/>
        </w:rPr>
        <w:t>Employees who want to use the procedure but feel uneasy about it may bring a colleague or Professional Association/Trade Union Representative along to any discussions, so long as the third party is not involved in the issue.</w:t>
      </w:r>
    </w:p>
    <w:p w14:paraId="3FF4D05B" w14:textId="77777777" w:rsidR="008B41E8" w:rsidRPr="00DF420D" w:rsidRDefault="008B41E8" w:rsidP="008B41E8">
      <w:pPr>
        <w:spacing w:line="240" w:lineRule="auto"/>
        <w:ind w:left="1440" w:hanging="720"/>
        <w:contextualSpacing/>
        <w:jc w:val="both"/>
        <w:rPr>
          <w:rFonts w:cs="Arial"/>
        </w:rPr>
      </w:pPr>
      <w:r w:rsidRPr="00DF420D">
        <w:rPr>
          <w:rFonts w:cs="Arial"/>
          <w:b/>
        </w:rPr>
        <w:t>7.5</w:t>
      </w:r>
      <w:r>
        <w:rPr>
          <w:rFonts w:cs="Arial"/>
        </w:rPr>
        <w:tab/>
        <w:t>Within seven working days</w:t>
      </w:r>
      <w:r w:rsidRPr="00DF420D">
        <w:rPr>
          <w:rFonts w:cs="Arial"/>
        </w:rPr>
        <w:t xml:space="preserve"> of</w:t>
      </w:r>
      <w:r>
        <w:rPr>
          <w:rFonts w:cs="Arial"/>
        </w:rPr>
        <w:t xml:space="preserve"> a concern being raised, and </w:t>
      </w:r>
      <w:r w:rsidRPr="00DF420D">
        <w:rPr>
          <w:rFonts w:cs="Arial"/>
        </w:rPr>
        <w:t>if an investigation is to be undertaken</w:t>
      </w:r>
      <w:r>
        <w:rPr>
          <w:rFonts w:cs="Arial"/>
        </w:rPr>
        <w:t>,</w:t>
      </w:r>
      <w:r w:rsidRPr="00DF420D">
        <w:rPr>
          <w:rFonts w:cs="Arial"/>
        </w:rPr>
        <w:t xml:space="preserve"> the employee will be contacted by the person who is appointed to lead the investigation outlining the process</w:t>
      </w:r>
      <w:r>
        <w:rPr>
          <w:rFonts w:cs="Arial"/>
        </w:rPr>
        <w:t>.</w:t>
      </w:r>
      <w:r w:rsidRPr="00DF420D">
        <w:rPr>
          <w:rFonts w:cs="Arial"/>
        </w:rPr>
        <w:t xml:space="preserve"> </w:t>
      </w:r>
    </w:p>
    <w:p w14:paraId="2DEA03FC" w14:textId="3650A3BF" w:rsidR="008B41E8" w:rsidRDefault="008B41E8" w:rsidP="008B41E8">
      <w:pPr>
        <w:spacing w:line="240" w:lineRule="auto"/>
        <w:ind w:left="1440" w:hanging="720"/>
        <w:contextualSpacing/>
        <w:jc w:val="both"/>
        <w:rPr>
          <w:rFonts w:cs="Arial"/>
        </w:rPr>
      </w:pPr>
      <w:r w:rsidRPr="00DF420D">
        <w:rPr>
          <w:rFonts w:cs="Arial"/>
          <w:b/>
        </w:rPr>
        <w:t>7.6</w:t>
      </w:r>
      <w:r w:rsidRPr="00DF420D">
        <w:rPr>
          <w:rFonts w:cs="Arial"/>
        </w:rPr>
        <w:t xml:space="preserve"> </w:t>
      </w:r>
      <w:r w:rsidRPr="00DF420D">
        <w:rPr>
          <w:rFonts w:cs="Arial"/>
        </w:rPr>
        <w:tab/>
        <w:t xml:space="preserve">The </w:t>
      </w:r>
      <w:r>
        <w:rPr>
          <w:rFonts w:cs="Arial"/>
        </w:rPr>
        <w:t xml:space="preserve">Executive </w:t>
      </w:r>
      <w:r w:rsidRPr="00DF420D">
        <w:rPr>
          <w:rFonts w:cs="Arial"/>
        </w:rPr>
        <w:t xml:space="preserve">Principal (or the person who carried out the investigation) will then report to the Chair of </w:t>
      </w:r>
      <w:r w:rsidR="008340C4">
        <w:rPr>
          <w:rFonts w:cs="Arial"/>
        </w:rPr>
        <w:t>Trust</w:t>
      </w:r>
      <w:r w:rsidRPr="00DF420D">
        <w:rPr>
          <w:rFonts w:cs="Arial"/>
        </w:rPr>
        <w:t xml:space="preserve">y who will take the necessary action, including reporting the matter to any appropriate department or regulatory agency. If disciplinary action is required this will be taken forward by the </w:t>
      </w:r>
      <w:r>
        <w:rPr>
          <w:rFonts w:cs="Arial"/>
        </w:rPr>
        <w:t xml:space="preserve">Executive </w:t>
      </w:r>
      <w:r w:rsidRPr="00DF420D">
        <w:rPr>
          <w:rFonts w:cs="Arial"/>
        </w:rPr>
        <w:t>Principal/Chair of Governors/</w:t>
      </w:r>
      <w:r w:rsidR="008340C4">
        <w:rPr>
          <w:rFonts w:cs="Arial"/>
        </w:rPr>
        <w:t>Chair of Trust</w:t>
      </w:r>
      <w:r w:rsidRPr="00DF420D">
        <w:rPr>
          <w:rFonts w:cs="Arial"/>
        </w:rPr>
        <w:t>. On conclusion of any investigation the employee will be told the outcome of the investigation and what the next steps will be. If no action is to be taken the reason for this will be explained.</w:t>
      </w:r>
    </w:p>
    <w:p w14:paraId="05A7949F" w14:textId="77777777" w:rsidR="008B41E8" w:rsidRPr="00DF420D" w:rsidRDefault="008B41E8" w:rsidP="008B41E8">
      <w:pPr>
        <w:spacing w:line="240" w:lineRule="auto"/>
        <w:ind w:left="1440" w:hanging="720"/>
        <w:contextualSpacing/>
        <w:jc w:val="both"/>
        <w:rPr>
          <w:rFonts w:cs="Arial"/>
        </w:rPr>
      </w:pPr>
    </w:p>
    <w:p w14:paraId="08FD4279" w14:textId="3C3BF1F2" w:rsidR="008B41E8" w:rsidRDefault="008B41E8" w:rsidP="008B41E8">
      <w:pPr>
        <w:spacing w:line="240" w:lineRule="auto"/>
        <w:ind w:left="1440"/>
        <w:contextualSpacing/>
        <w:jc w:val="both"/>
        <w:rPr>
          <w:rFonts w:cs="Arial"/>
        </w:rPr>
      </w:pPr>
      <w:r w:rsidRPr="00DF420D">
        <w:rPr>
          <w:rFonts w:cs="Arial"/>
        </w:rPr>
        <w:t xml:space="preserve">If the employee is concerned that the </w:t>
      </w:r>
      <w:r>
        <w:rPr>
          <w:rFonts w:cs="Arial"/>
        </w:rPr>
        <w:t xml:space="preserve">Executive </w:t>
      </w:r>
      <w:r w:rsidRPr="00DF420D">
        <w:rPr>
          <w:rFonts w:cs="Arial"/>
        </w:rPr>
        <w:t>Principal is involved in the wrongdoing, has failed to make a proper investigation or has failed to report the outcome of the investigation, t</w:t>
      </w:r>
      <w:r w:rsidR="008340C4">
        <w:rPr>
          <w:rFonts w:cs="Arial"/>
        </w:rPr>
        <w:t>hey should inform the Chair of Trust</w:t>
      </w:r>
      <w:r w:rsidRPr="00DF420D">
        <w:rPr>
          <w:rFonts w:cs="Arial"/>
        </w:rPr>
        <w:t>. Employees who feel unable to follow this route, for whatever reason, have the option of contacting one of the following:</w:t>
      </w:r>
    </w:p>
    <w:p w14:paraId="76EBE3F6" w14:textId="77777777" w:rsidR="008B41E8" w:rsidRPr="00DF420D" w:rsidRDefault="008B41E8" w:rsidP="008B41E8">
      <w:pPr>
        <w:spacing w:line="240" w:lineRule="auto"/>
        <w:ind w:left="1440"/>
        <w:contextualSpacing/>
        <w:jc w:val="both"/>
        <w:rPr>
          <w:rFonts w:cs="Arial"/>
        </w:rPr>
      </w:pPr>
    </w:p>
    <w:p w14:paraId="5295438F"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HM Revenue and Customs</w:t>
      </w:r>
    </w:p>
    <w:p w14:paraId="434DB411"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Financial Services Authority</w:t>
      </w:r>
    </w:p>
    <w:p w14:paraId="1701D854"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Office of Fair Trading</w:t>
      </w:r>
    </w:p>
    <w:p w14:paraId="3CD4D46D"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Health and Safety Executive</w:t>
      </w:r>
    </w:p>
    <w:p w14:paraId="4BE61F21"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Environment Agency</w:t>
      </w:r>
    </w:p>
    <w:p w14:paraId="56452468"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Director of Public Prosecutions</w:t>
      </w:r>
    </w:p>
    <w:p w14:paraId="35928771"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Serious Fraud Office</w:t>
      </w:r>
    </w:p>
    <w:p w14:paraId="5162D5D6" w14:textId="77777777" w:rsidR="008B41E8" w:rsidRPr="00DF420D" w:rsidRDefault="008B41E8" w:rsidP="008B41E8">
      <w:pPr>
        <w:numPr>
          <w:ilvl w:val="0"/>
          <w:numId w:val="40"/>
        </w:numPr>
        <w:spacing w:after="0" w:line="240" w:lineRule="auto"/>
        <w:contextualSpacing/>
        <w:jc w:val="both"/>
        <w:rPr>
          <w:rFonts w:cs="Arial"/>
        </w:rPr>
      </w:pPr>
      <w:r w:rsidRPr="00DF420D">
        <w:rPr>
          <w:rFonts w:cs="Arial"/>
        </w:rPr>
        <w:t>The Education Funding Agency</w:t>
      </w:r>
    </w:p>
    <w:p w14:paraId="57B26023" w14:textId="77777777" w:rsidR="008B41E8" w:rsidRDefault="008B41E8" w:rsidP="008B41E8">
      <w:pPr>
        <w:numPr>
          <w:ilvl w:val="0"/>
          <w:numId w:val="40"/>
        </w:numPr>
        <w:spacing w:after="0" w:line="240" w:lineRule="auto"/>
        <w:contextualSpacing/>
        <w:jc w:val="both"/>
        <w:rPr>
          <w:rFonts w:cs="Arial"/>
        </w:rPr>
      </w:pPr>
      <w:r w:rsidRPr="00DF420D">
        <w:rPr>
          <w:rFonts w:cs="Arial"/>
        </w:rPr>
        <w:t>The Department for Education</w:t>
      </w:r>
    </w:p>
    <w:p w14:paraId="711F000B" w14:textId="77777777" w:rsidR="008B41E8" w:rsidRDefault="008B41E8" w:rsidP="008B41E8">
      <w:pPr>
        <w:numPr>
          <w:ilvl w:val="0"/>
          <w:numId w:val="40"/>
        </w:numPr>
        <w:spacing w:after="0" w:line="240" w:lineRule="auto"/>
        <w:contextualSpacing/>
        <w:jc w:val="both"/>
        <w:rPr>
          <w:rFonts w:cs="Arial"/>
        </w:rPr>
      </w:pPr>
      <w:r>
        <w:rPr>
          <w:rFonts w:cs="Arial"/>
        </w:rPr>
        <w:t>NSPCC whistleblowing helpline in relation to child protection issues</w:t>
      </w:r>
    </w:p>
    <w:p w14:paraId="303ED93F" w14:textId="5DDC9149" w:rsidR="00660076" w:rsidRDefault="00660076" w:rsidP="008B41E8">
      <w:pPr>
        <w:numPr>
          <w:ilvl w:val="0"/>
          <w:numId w:val="40"/>
        </w:numPr>
        <w:spacing w:after="0" w:line="240" w:lineRule="auto"/>
        <w:contextualSpacing/>
        <w:jc w:val="both"/>
        <w:rPr>
          <w:rFonts w:cs="Arial"/>
        </w:rPr>
      </w:pPr>
      <w:r>
        <w:rPr>
          <w:rFonts w:cs="Arial"/>
        </w:rPr>
        <w:t>Whistleblowing champion within the academies: Elected Staff Governor.</w:t>
      </w:r>
    </w:p>
    <w:p w14:paraId="71BE82E5" w14:textId="77777777" w:rsidR="00660076" w:rsidRDefault="00660076" w:rsidP="00660076">
      <w:pPr>
        <w:spacing w:after="0" w:line="240" w:lineRule="auto"/>
        <w:contextualSpacing/>
        <w:jc w:val="both"/>
        <w:rPr>
          <w:rFonts w:cs="Arial"/>
        </w:rPr>
      </w:pPr>
    </w:p>
    <w:p w14:paraId="34B0822E" w14:textId="77777777" w:rsidR="00660076" w:rsidRDefault="00660076" w:rsidP="00660076">
      <w:pPr>
        <w:spacing w:after="0" w:line="240" w:lineRule="auto"/>
        <w:contextualSpacing/>
        <w:jc w:val="both"/>
        <w:rPr>
          <w:rFonts w:cs="Arial"/>
        </w:rPr>
      </w:pPr>
    </w:p>
    <w:p w14:paraId="727EE344" w14:textId="77777777" w:rsidR="00660076" w:rsidRDefault="00660076" w:rsidP="00660076">
      <w:pPr>
        <w:spacing w:after="0" w:line="240" w:lineRule="auto"/>
        <w:contextualSpacing/>
        <w:jc w:val="both"/>
        <w:rPr>
          <w:rFonts w:cs="Arial"/>
        </w:rPr>
      </w:pPr>
    </w:p>
    <w:p w14:paraId="4D51A453" w14:textId="77777777" w:rsidR="008B41E8" w:rsidRPr="000667D1" w:rsidRDefault="008B41E8" w:rsidP="008B41E8">
      <w:pPr>
        <w:spacing w:after="0" w:line="240" w:lineRule="auto"/>
        <w:ind w:left="1800"/>
        <w:contextualSpacing/>
        <w:jc w:val="both"/>
        <w:rPr>
          <w:rFonts w:cs="Arial"/>
        </w:rPr>
      </w:pPr>
    </w:p>
    <w:p w14:paraId="5019E795" w14:textId="77777777" w:rsidR="008B41E8" w:rsidRPr="000667D1" w:rsidRDefault="008B41E8" w:rsidP="008B41E8">
      <w:pPr>
        <w:pStyle w:val="ListParagraph"/>
        <w:numPr>
          <w:ilvl w:val="0"/>
          <w:numId w:val="45"/>
        </w:numPr>
        <w:jc w:val="both"/>
        <w:rPr>
          <w:rFonts w:cs="Arial"/>
          <w:b/>
        </w:rPr>
      </w:pPr>
      <w:r>
        <w:rPr>
          <w:rFonts w:cs="Arial"/>
          <w:b/>
        </w:rPr>
        <w:t xml:space="preserve"> </w:t>
      </w:r>
      <w:r>
        <w:rPr>
          <w:rFonts w:cs="Arial"/>
          <w:b/>
        </w:rPr>
        <w:tab/>
      </w:r>
      <w:r w:rsidRPr="000667D1">
        <w:rPr>
          <w:rFonts w:cs="Arial"/>
          <w:b/>
        </w:rPr>
        <w:t>What should be done if an issue is raised with a member of staff?</w:t>
      </w:r>
    </w:p>
    <w:p w14:paraId="0CD61A65" w14:textId="77777777" w:rsidR="008B41E8" w:rsidRDefault="008B41E8" w:rsidP="008B41E8">
      <w:pPr>
        <w:spacing w:line="240" w:lineRule="auto"/>
        <w:contextualSpacing/>
        <w:jc w:val="both"/>
        <w:rPr>
          <w:rFonts w:cs="Arial"/>
        </w:rPr>
      </w:pPr>
      <w:r w:rsidRPr="00DF420D">
        <w:rPr>
          <w:rFonts w:cs="Arial"/>
        </w:rPr>
        <w:t>If a member of staff, other than the</w:t>
      </w:r>
      <w:r>
        <w:rPr>
          <w:rFonts w:cs="Arial"/>
        </w:rPr>
        <w:t xml:space="preserve"> Executive</w:t>
      </w:r>
      <w:r w:rsidRPr="00DF420D">
        <w:rPr>
          <w:rFonts w:cs="Arial"/>
        </w:rPr>
        <w:t xml:space="preserve"> Principal, is approached by a colleague on a matter of concern as defined in this document, they are advised to take the matter to the</w:t>
      </w:r>
      <w:r>
        <w:rPr>
          <w:rFonts w:cs="Arial"/>
        </w:rPr>
        <w:t xml:space="preserve"> Executive</w:t>
      </w:r>
      <w:r w:rsidRPr="00DF420D">
        <w:rPr>
          <w:rFonts w:cs="Arial"/>
        </w:rPr>
        <w:t xml:space="preserve"> Principal</w:t>
      </w:r>
      <w:r>
        <w:rPr>
          <w:rFonts w:cs="Arial"/>
        </w:rPr>
        <w:t>.</w:t>
      </w:r>
    </w:p>
    <w:p w14:paraId="0CBF5150" w14:textId="77777777" w:rsidR="008B41E8" w:rsidRDefault="008B41E8" w:rsidP="008B41E8">
      <w:pPr>
        <w:spacing w:line="240" w:lineRule="auto"/>
        <w:contextualSpacing/>
        <w:jc w:val="both"/>
        <w:rPr>
          <w:rFonts w:cs="Arial"/>
        </w:rPr>
      </w:pPr>
    </w:p>
    <w:p w14:paraId="229F1B84" w14:textId="05A5446E" w:rsidR="008B41E8" w:rsidRPr="008C2EBB" w:rsidRDefault="008B41E8" w:rsidP="008B41E8">
      <w:pPr>
        <w:pStyle w:val="ListParagraph"/>
        <w:numPr>
          <w:ilvl w:val="0"/>
          <w:numId w:val="45"/>
        </w:numPr>
        <w:jc w:val="both"/>
        <w:rPr>
          <w:rFonts w:cs="Arial"/>
        </w:rPr>
      </w:pPr>
      <w:r w:rsidRPr="008340C4">
        <w:rPr>
          <w:rFonts w:cs="Arial"/>
          <w:b/>
        </w:rPr>
        <w:lastRenderedPageBreak/>
        <w:t>Co</w:t>
      </w:r>
      <w:r w:rsidRPr="008C2EBB">
        <w:rPr>
          <w:rFonts w:cs="Arial"/>
          <w:b/>
        </w:rPr>
        <w:t>n</w:t>
      </w:r>
      <w:r w:rsidR="00660076">
        <w:rPr>
          <w:rFonts w:cs="Arial"/>
          <w:b/>
        </w:rPr>
        <w:t>c</w:t>
      </w:r>
      <w:r w:rsidRPr="008C2EBB">
        <w:rPr>
          <w:rFonts w:cs="Arial"/>
          <w:b/>
        </w:rPr>
        <w:t>erns about child protection issues:</w:t>
      </w:r>
    </w:p>
    <w:p w14:paraId="4CEF6C4C" w14:textId="113273E7" w:rsidR="008B41E8" w:rsidRPr="008C2EBB" w:rsidRDefault="008B41E8" w:rsidP="008B41E8">
      <w:pPr>
        <w:jc w:val="both"/>
        <w:rPr>
          <w:rFonts w:cs="Arial"/>
        </w:rPr>
      </w:pPr>
      <w:r>
        <w:rPr>
          <w:rFonts w:cs="Arial"/>
        </w:rPr>
        <w:t xml:space="preserve">If a member of staff is concerned about child protection procedures within the academy and do not feel they are able to report </w:t>
      </w:r>
      <w:proofErr w:type="gramStart"/>
      <w:r>
        <w:rPr>
          <w:rFonts w:cs="Arial"/>
        </w:rPr>
        <w:t>them</w:t>
      </w:r>
      <w:proofErr w:type="gramEnd"/>
      <w:r>
        <w:rPr>
          <w:rFonts w:cs="Arial"/>
        </w:rPr>
        <w:t xml:space="preserve"> to another member of staff, the Executive</w:t>
      </w:r>
      <w:r w:rsidR="008340C4">
        <w:rPr>
          <w:rFonts w:cs="Arial"/>
        </w:rPr>
        <w:t xml:space="preserve"> Principal or the Chair of the Trust</w:t>
      </w:r>
      <w:r>
        <w:rPr>
          <w:rFonts w:cs="Arial"/>
        </w:rPr>
        <w:t xml:space="preserve"> then they should contact the NSPCC whistleblowing helpline.</w:t>
      </w:r>
    </w:p>
    <w:p w14:paraId="181A752E" w14:textId="77777777" w:rsidR="008B41E8" w:rsidRDefault="008B41E8" w:rsidP="008B41E8">
      <w:pPr>
        <w:spacing w:line="240" w:lineRule="auto"/>
        <w:contextualSpacing/>
        <w:jc w:val="both"/>
        <w:rPr>
          <w:rFonts w:cs="Arial"/>
        </w:rPr>
      </w:pPr>
    </w:p>
    <w:p w14:paraId="4A0E29D2" w14:textId="77777777" w:rsidR="008B41E8" w:rsidRPr="008C2EBB" w:rsidRDefault="00327819" w:rsidP="008B41E8">
      <w:pPr>
        <w:autoSpaceDE w:val="0"/>
        <w:autoSpaceDN w:val="0"/>
        <w:adjustRightInd w:val="0"/>
        <w:rPr>
          <w:rFonts w:eastAsia="Calibri" w:cs="Arial"/>
          <w:color w:val="000000"/>
        </w:rPr>
      </w:pPr>
      <w:hyperlink r:id="rId8" w:history="1">
        <w:r w:rsidR="008B41E8" w:rsidRPr="008C2EBB">
          <w:rPr>
            <w:rFonts w:eastAsia="Calibri" w:cs="Arial"/>
            <w:color w:val="0000FF"/>
            <w:u w:val="single"/>
          </w:rPr>
          <w:t>https://www.gov.uk/government/news/home-office-launches-child-abuse-whistleblowing-helpline</w:t>
        </w:r>
      </w:hyperlink>
      <w:r w:rsidR="008B41E8" w:rsidRPr="008C2EBB">
        <w:rPr>
          <w:rFonts w:eastAsia="Calibri" w:cs="Arial"/>
          <w:color w:val="000000"/>
        </w:rPr>
        <w:t xml:space="preserve">   or telephone on 0800 028 0285 – line is available from 8:00 AM to 8:00 PM, Monday to Friday and Email: </w:t>
      </w:r>
      <w:hyperlink r:id="rId9" w:history="1">
        <w:r w:rsidR="008B41E8" w:rsidRPr="0075263C">
          <w:rPr>
            <w:rStyle w:val="Hyperlink"/>
            <w:rFonts w:eastAsia="Calibri" w:cs="Arial"/>
          </w:rPr>
          <w:t>help@nspcc.org.uk</w:t>
        </w:r>
      </w:hyperlink>
      <w:r w:rsidR="008B41E8" w:rsidRPr="008C2EBB">
        <w:rPr>
          <w:rFonts w:eastAsia="Calibri" w:cs="Arial"/>
          <w:color w:val="000000"/>
        </w:rPr>
        <w:t>.</w:t>
      </w:r>
      <w:r w:rsidR="008B41E8">
        <w:rPr>
          <w:rFonts w:eastAsia="Calibri" w:cs="Arial"/>
          <w:color w:val="000000"/>
        </w:rPr>
        <w:t xml:space="preserve"> [Keeping Children Safe in Education </w:t>
      </w:r>
      <w:proofErr w:type="spellStart"/>
      <w:r w:rsidR="008B41E8">
        <w:rPr>
          <w:rFonts w:eastAsia="Calibri" w:cs="Arial"/>
          <w:color w:val="000000"/>
        </w:rPr>
        <w:t>Dfe</w:t>
      </w:r>
      <w:proofErr w:type="spellEnd"/>
      <w:r w:rsidR="008B41E8">
        <w:rPr>
          <w:rFonts w:eastAsia="Calibri" w:cs="Arial"/>
          <w:color w:val="000000"/>
        </w:rPr>
        <w:t xml:space="preserve"> 2016]</w:t>
      </w:r>
    </w:p>
    <w:p w14:paraId="1C673B67" w14:textId="77777777" w:rsidR="008B41E8" w:rsidRDefault="008B41E8" w:rsidP="008B41E8">
      <w:pPr>
        <w:spacing w:line="240" w:lineRule="auto"/>
        <w:contextualSpacing/>
        <w:jc w:val="both"/>
        <w:rPr>
          <w:rFonts w:cs="Arial"/>
        </w:rPr>
      </w:pPr>
    </w:p>
    <w:p w14:paraId="3F5E974A" w14:textId="77777777" w:rsidR="008B41E8" w:rsidRPr="000667D1" w:rsidRDefault="008B41E8" w:rsidP="008B41E8">
      <w:pPr>
        <w:spacing w:line="240" w:lineRule="auto"/>
        <w:contextualSpacing/>
        <w:jc w:val="both"/>
        <w:rPr>
          <w:rFonts w:cs="Arial"/>
        </w:rPr>
      </w:pPr>
    </w:p>
    <w:p w14:paraId="2ADEC68E" w14:textId="77777777" w:rsidR="008B41E8" w:rsidRPr="00DF420D" w:rsidRDefault="008B41E8" w:rsidP="008B41E8">
      <w:pPr>
        <w:spacing w:after="0" w:line="240" w:lineRule="auto"/>
        <w:contextualSpacing/>
        <w:jc w:val="both"/>
        <w:rPr>
          <w:rFonts w:cstheme="minorHAnsi"/>
          <w:b/>
        </w:rPr>
      </w:pPr>
      <w:r w:rsidRPr="000667D1">
        <w:rPr>
          <w:rFonts w:cs="Tahoma"/>
          <w:b/>
        </w:rPr>
        <w:t>9.0</w:t>
      </w:r>
      <w:r>
        <w:rPr>
          <w:rFonts w:cs="Tahoma"/>
        </w:rPr>
        <w:t xml:space="preserve">  </w:t>
      </w:r>
      <w:r>
        <w:rPr>
          <w:rFonts w:cs="Tahoma"/>
        </w:rPr>
        <w:tab/>
      </w:r>
      <w:r w:rsidRPr="00DF420D">
        <w:rPr>
          <w:rFonts w:cstheme="minorHAnsi"/>
          <w:b/>
        </w:rPr>
        <w:t>Monitoring, Evaluation and Review</w:t>
      </w:r>
    </w:p>
    <w:p w14:paraId="3F73F2CD" w14:textId="77777777" w:rsidR="008B41E8" w:rsidRPr="00DF420D" w:rsidRDefault="008B41E8" w:rsidP="008B41E8">
      <w:pPr>
        <w:spacing w:after="0" w:line="240" w:lineRule="auto"/>
        <w:contextualSpacing/>
        <w:jc w:val="both"/>
        <w:rPr>
          <w:rFonts w:cstheme="minorHAnsi"/>
          <w:b/>
        </w:rPr>
      </w:pPr>
    </w:p>
    <w:p w14:paraId="5E368BAC" w14:textId="77777777" w:rsidR="008B41E8" w:rsidRPr="00DF420D" w:rsidRDefault="008B41E8" w:rsidP="008B41E8">
      <w:pPr>
        <w:spacing w:after="0" w:line="240" w:lineRule="auto"/>
        <w:contextualSpacing/>
        <w:jc w:val="both"/>
        <w:outlineLvl w:val="0"/>
        <w:rPr>
          <w:rFonts w:eastAsia="Arial Unicode MS" w:cstheme="minorHAnsi"/>
          <w:color w:val="000000"/>
          <w:u w:color="000000"/>
          <w:lang w:eastAsia="en-GB"/>
        </w:rPr>
      </w:pPr>
      <w:r w:rsidRPr="00DF420D">
        <w:rPr>
          <w:rFonts w:eastAsia="Arial Unicode MS" w:cstheme="minorHAnsi"/>
          <w:color w:val="000000"/>
          <w:u w:color="000000"/>
          <w:lang w:eastAsia="en-GB"/>
        </w:rPr>
        <w:t xml:space="preserve">This policy will be subject to an interim review in </w:t>
      </w:r>
      <w:r>
        <w:rPr>
          <w:rFonts w:eastAsia="Arial Unicode MS" w:cstheme="minorHAnsi"/>
          <w:color w:val="000000"/>
          <w:u w:color="000000"/>
          <w:lang w:eastAsia="en-GB"/>
        </w:rPr>
        <w:t>June 2018</w:t>
      </w:r>
      <w:r w:rsidRPr="00DF420D">
        <w:rPr>
          <w:rFonts w:eastAsia="Arial Unicode MS" w:cstheme="minorHAnsi"/>
          <w:color w:val="000000"/>
          <w:u w:color="000000"/>
          <w:lang w:eastAsia="en-GB"/>
        </w:rPr>
        <w:t xml:space="preserve">, </w:t>
      </w:r>
      <w:r>
        <w:rPr>
          <w:rFonts w:eastAsia="Arial Unicode MS" w:cstheme="minorHAnsi"/>
          <w:color w:val="000000"/>
          <w:u w:color="000000"/>
          <w:lang w:eastAsia="en-GB"/>
        </w:rPr>
        <w:t>taking into</w:t>
      </w:r>
      <w:r w:rsidRPr="00DF420D">
        <w:rPr>
          <w:rFonts w:eastAsia="Arial Unicode MS" w:cstheme="minorHAnsi"/>
          <w:color w:val="000000"/>
          <w:u w:color="000000"/>
          <w:lang w:eastAsia="en-GB"/>
        </w:rPr>
        <w:t xml:space="preserve"> account feedback from employees and stakeholders. The </w:t>
      </w:r>
      <w:r>
        <w:rPr>
          <w:rFonts w:eastAsia="Arial Unicode MS" w:cstheme="minorHAnsi"/>
          <w:color w:val="000000"/>
          <w:u w:color="000000"/>
          <w:lang w:eastAsia="en-GB"/>
        </w:rPr>
        <w:t xml:space="preserve">Executive </w:t>
      </w:r>
      <w:r w:rsidRPr="00DF420D">
        <w:rPr>
          <w:rFonts w:eastAsia="Arial Unicode MS" w:cstheme="minorHAnsi"/>
          <w:color w:val="000000"/>
          <w:u w:color="000000"/>
          <w:lang w:eastAsia="en-GB"/>
        </w:rPr>
        <w:t>Principal will be responsible for maintaining a record o</w:t>
      </w:r>
      <w:r>
        <w:rPr>
          <w:rFonts w:eastAsia="Arial Unicode MS" w:cstheme="minorHAnsi"/>
          <w:color w:val="000000"/>
          <w:u w:color="000000"/>
          <w:lang w:eastAsia="en-GB"/>
        </w:rPr>
        <w:t>f concerns raised and outcomes (</w:t>
      </w:r>
      <w:r w:rsidRPr="00DF420D">
        <w:rPr>
          <w:rFonts w:eastAsia="Arial Unicode MS" w:cstheme="minorHAnsi"/>
          <w:color w:val="000000"/>
          <w:u w:color="000000"/>
          <w:lang w:eastAsia="en-GB"/>
        </w:rPr>
        <w:t>which do</w:t>
      </w:r>
      <w:r>
        <w:rPr>
          <w:rFonts w:eastAsia="Arial Unicode MS" w:cstheme="minorHAnsi"/>
          <w:color w:val="000000"/>
          <w:u w:color="000000"/>
          <w:lang w:eastAsia="en-GB"/>
        </w:rPr>
        <w:t>es not engender confidentiality)</w:t>
      </w:r>
      <w:r w:rsidRPr="00DF420D">
        <w:rPr>
          <w:rFonts w:eastAsia="Arial Unicode MS" w:cstheme="minorHAnsi"/>
          <w:color w:val="000000"/>
          <w:u w:color="000000"/>
          <w:lang w:eastAsia="en-GB"/>
        </w:rPr>
        <w:t xml:space="preserve"> and will report this to the Governing Body and Trust Board.</w:t>
      </w:r>
    </w:p>
    <w:p w14:paraId="6D992038" w14:textId="77777777" w:rsidR="008B41E8" w:rsidRPr="00DF420D" w:rsidRDefault="008B41E8" w:rsidP="008B41E8">
      <w:pPr>
        <w:spacing w:after="0" w:line="240" w:lineRule="auto"/>
        <w:contextualSpacing/>
        <w:jc w:val="both"/>
        <w:rPr>
          <w:rFonts w:eastAsia="Times New Roman" w:cstheme="minorHAnsi"/>
        </w:rPr>
      </w:pPr>
    </w:p>
    <w:p w14:paraId="26760346" w14:textId="77777777" w:rsidR="008B41E8" w:rsidRPr="00DF420D" w:rsidRDefault="008B41E8" w:rsidP="008B41E8">
      <w:pPr>
        <w:spacing w:line="240" w:lineRule="auto"/>
        <w:contextualSpacing/>
        <w:jc w:val="both"/>
        <w:rPr>
          <w:rFonts w:eastAsia="Times New Roman" w:cstheme="minorHAnsi"/>
        </w:rPr>
      </w:pPr>
    </w:p>
    <w:p w14:paraId="16E1B217" w14:textId="77777777" w:rsidR="005F63BB" w:rsidRDefault="005F63BB" w:rsidP="00A333AB">
      <w:pPr>
        <w:spacing w:after="0" w:line="240" w:lineRule="auto"/>
        <w:outlineLvl w:val="0"/>
        <w:rPr>
          <w:rFonts w:ascii="Calibri" w:eastAsia="Arial Unicode MS" w:hAnsi="Calibri" w:cs="Calibri"/>
          <w:color w:val="000000"/>
          <w:sz w:val="24"/>
          <w:szCs w:val="24"/>
          <w:u w:color="000000"/>
          <w:lang w:val="en-US"/>
        </w:rPr>
      </w:pPr>
    </w:p>
    <w:p w14:paraId="68E2E4AB" w14:textId="77777777" w:rsidR="00C5416A" w:rsidRDefault="00C5416A" w:rsidP="00A333AB">
      <w:pPr>
        <w:spacing w:after="0" w:line="240" w:lineRule="auto"/>
        <w:outlineLvl w:val="0"/>
        <w:rPr>
          <w:rFonts w:eastAsia="Arial Unicode MS" w:cs="Calibri"/>
          <w:color w:val="000000"/>
          <w:sz w:val="24"/>
          <w:szCs w:val="24"/>
          <w:u w:color="000000"/>
          <w:lang w:val="en-US"/>
        </w:rPr>
      </w:pPr>
    </w:p>
    <w:p w14:paraId="5F7E4A92" w14:textId="77777777" w:rsidR="00C5416A" w:rsidRPr="00C5416A" w:rsidRDefault="00C5416A" w:rsidP="00A333AB">
      <w:pPr>
        <w:spacing w:after="0" w:line="240" w:lineRule="auto"/>
        <w:outlineLvl w:val="0"/>
        <w:rPr>
          <w:rFonts w:eastAsia="Arial Unicode MS" w:cs="Calibri"/>
          <w:color w:val="000000"/>
          <w:sz w:val="24"/>
          <w:szCs w:val="24"/>
          <w:u w:color="000000"/>
          <w:lang w:val="en-US"/>
        </w:rPr>
      </w:pPr>
    </w:p>
    <w:p w14:paraId="10326D92" w14:textId="77777777" w:rsidR="00C5416A" w:rsidRPr="00C5416A" w:rsidRDefault="00C5416A" w:rsidP="00A333AB">
      <w:pPr>
        <w:spacing w:after="0" w:line="240" w:lineRule="auto"/>
        <w:outlineLvl w:val="0"/>
        <w:rPr>
          <w:rFonts w:eastAsia="Arial Unicode MS" w:cs="Calibri"/>
          <w:color w:val="000000"/>
          <w:sz w:val="24"/>
          <w:szCs w:val="24"/>
          <w:u w:color="000000"/>
          <w:lang w:val="en-US"/>
        </w:rPr>
      </w:pPr>
    </w:p>
    <w:p w14:paraId="1D4B7B05" w14:textId="77777777" w:rsidR="00A333AB" w:rsidRDefault="00A333AB" w:rsidP="00A333AB">
      <w:pPr>
        <w:pStyle w:val="Body1"/>
        <w:rPr>
          <w:rFonts w:ascii="Helvetica" w:hAnsi="Helvetica"/>
        </w:rPr>
      </w:pPr>
    </w:p>
    <w:p w14:paraId="54480E00" w14:textId="3CF77B54" w:rsidR="00091758" w:rsidRDefault="00091758"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7D4313F6" w14:textId="77777777" w:rsidR="00A333AB" w:rsidRPr="00091758" w:rsidRDefault="00A333AB" w:rsidP="00091758">
      <w:pPr>
        <w:jc w:val="right"/>
        <w:rPr>
          <w:rFonts w:ascii="Calibri" w:eastAsia="Arial Unicode MS" w:hAnsi="Calibri" w:cs="Times New Roman"/>
          <w:sz w:val="28"/>
          <w:szCs w:val="28"/>
          <w:lang w:eastAsia="en-GB"/>
        </w:rPr>
      </w:pPr>
    </w:p>
    <w:sectPr w:rsidR="00A333AB" w:rsidRPr="00091758" w:rsidSect="006011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963419" w:rsidRDefault="00963419" w:rsidP="00601170">
      <w:pPr>
        <w:spacing w:after="0" w:line="240" w:lineRule="auto"/>
      </w:pPr>
      <w:r>
        <w:separator/>
      </w:r>
    </w:p>
  </w:endnote>
  <w:endnote w:type="continuationSeparator" w:id="0">
    <w:p w14:paraId="0C0A0A09" w14:textId="77777777" w:rsidR="00963419" w:rsidRDefault="00963419"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AC35" w14:textId="77777777" w:rsidR="008B41E8" w:rsidRDefault="008B4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5ECC5AF1" w:rsidR="00963419" w:rsidRDefault="00963419">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2B4DCEC5" wp14:editId="51186EB6">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551B53C8" w:rsidR="00963419" w:rsidRPr="00A82AC8" w:rsidRDefault="00963419">
                          <w:pPr>
                            <w:rPr>
                              <w:sz w:val="16"/>
                              <w:szCs w:val="16"/>
                            </w:rPr>
                          </w:pPr>
                          <w:r w:rsidRPr="00A82AC8">
                            <w:rPr>
                              <w:sz w:val="16"/>
                              <w:szCs w:val="16"/>
                            </w:rPr>
                            <w:t xml:space="preserve">Policy:  </w:t>
                          </w:r>
                          <w:r w:rsidR="00660076">
                            <w:rPr>
                              <w:sz w:val="16"/>
                              <w:szCs w:val="16"/>
                            </w:rPr>
                            <w:t>Whistleblowing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14:paraId="573D3854" w14:textId="551B53C8" w:rsidR="00963419" w:rsidRPr="00A82AC8" w:rsidRDefault="00963419">
                    <w:pPr>
                      <w:rPr>
                        <w:sz w:val="16"/>
                        <w:szCs w:val="16"/>
                      </w:rPr>
                    </w:pPr>
                    <w:r w:rsidRPr="00A82AC8">
                      <w:rPr>
                        <w:sz w:val="16"/>
                        <w:szCs w:val="16"/>
                      </w:rPr>
                      <w:t xml:space="preserve">Policy:  </w:t>
                    </w:r>
                    <w:r w:rsidR="00660076">
                      <w:rPr>
                        <w:sz w:val="16"/>
                        <w:szCs w:val="16"/>
                      </w:rPr>
                      <w:t>Whistleblowing</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2AB50610">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289FFC40" w:rsidR="00963419" w:rsidRPr="00A82AC8" w:rsidRDefault="00963419" w:rsidP="00A82AC8">
                          <w:pPr>
                            <w:rPr>
                              <w:sz w:val="16"/>
                              <w:szCs w:val="16"/>
                            </w:rPr>
                          </w:pPr>
                          <w:r>
                            <w:rPr>
                              <w:sz w:val="16"/>
                              <w:szCs w:val="16"/>
                            </w:rPr>
                            <w:t>Version: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A3F1" id="_x0000_s1027"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14:paraId="1D2C79E1" w14:textId="289FFC40" w:rsidR="00963419" w:rsidRPr="00A82AC8" w:rsidRDefault="00963419" w:rsidP="00A82AC8">
                    <w:pPr>
                      <w:rPr>
                        <w:sz w:val="16"/>
                        <w:szCs w:val="16"/>
                      </w:rPr>
                    </w:pPr>
                    <w:r>
                      <w:rPr>
                        <w:sz w:val="16"/>
                        <w:szCs w:val="16"/>
                      </w:rPr>
                      <w:t>Version:  Final</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327819">
              <w:rPr>
                <w:b/>
                <w:bCs/>
                <w:noProof/>
                <w:sz w:val="16"/>
                <w:szCs w:val="16"/>
              </w:rPr>
              <w:t>2</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327819">
              <w:rPr>
                <w:b/>
                <w:bCs/>
                <w:noProof/>
                <w:sz w:val="16"/>
                <w:szCs w:val="16"/>
              </w:rPr>
              <w:t>6</w:t>
            </w:r>
            <w:r w:rsidRPr="00A82AC8">
              <w:rPr>
                <w:b/>
                <w:bCs/>
                <w:sz w:val="16"/>
                <w:szCs w:val="16"/>
              </w:rPr>
              <w:fldChar w:fldCharType="end"/>
            </w:r>
          </w:sdtContent>
        </w:sdt>
      </w:sdtContent>
    </w:sdt>
  </w:p>
  <w:p w14:paraId="21C52F26" w14:textId="29ED8DD5" w:rsidR="00963419" w:rsidRDefault="00963419" w:rsidP="000E6C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F8F1" w14:textId="06274A12" w:rsidR="00963419" w:rsidRDefault="0065797A" w:rsidP="00927C34">
    <w:r>
      <w:rPr>
        <w:noProof/>
        <w:lang w:eastAsia="en-GB"/>
      </w:rPr>
      <w:drawing>
        <wp:anchor distT="0" distB="0" distL="114300" distR="114300" simplePos="0" relativeHeight="251673600" behindDoc="0" locked="0" layoutInCell="1" allowOverlap="1" wp14:anchorId="11181D4B" wp14:editId="4E312835">
          <wp:simplePos x="0" y="0"/>
          <wp:positionH relativeFrom="margin">
            <wp:align>center</wp:align>
          </wp:positionH>
          <wp:positionV relativeFrom="page">
            <wp:posOffset>9906000</wp:posOffset>
          </wp:positionV>
          <wp:extent cx="3078000" cy="428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000" cy="42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0" wp14:anchorId="1598ED20" wp14:editId="2C513B5A">
          <wp:simplePos x="0" y="0"/>
          <wp:positionH relativeFrom="page">
            <wp:align>right</wp:align>
          </wp:positionH>
          <wp:positionV relativeFrom="paragraph">
            <wp:posOffset>-71755</wp:posOffset>
          </wp:positionV>
          <wp:extent cx="7504208" cy="911860"/>
          <wp:effectExtent l="0" t="0" r="190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4208" cy="911860"/>
                  </a:xfrm>
                  <a:prstGeom prst="rect">
                    <a:avLst/>
                  </a:prstGeom>
                  <a:noFill/>
                </pic:spPr>
              </pic:pic>
            </a:graphicData>
          </a:graphic>
          <wp14:sizeRelH relativeFrom="margin">
            <wp14:pctWidth>0</wp14:pctWidth>
          </wp14:sizeRelH>
          <wp14:sizeRelV relativeFrom="margin">
            <wp14:pctHeight>0</wp14:pctHeight>
          </wp14:sizeRelV>
        </wp:anchor>
      </w:drawing>
    </w:r>
  </w:p>
  <w:p w14:paraId="24464169" w14:textId="2CD99A2C" w:rsidR="00963419" w:rsidRDefault="00963419" w:rsidP="004F7BC2">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963419" w:rsidRDefault="00963419" w:rsidP="00601170">
      <w:pPr>
        <w:spacing w:after="0" w:line="240" w:lineRule="auto"/>
      </w:pPr>
      <w:r>
        <w:separator/>
      </w:r>
    </w:p>
  </w:footnote>
  <w:footnote w:type="continuationSeparator" w:id="0">
    <w:p w14:paraId="3475B958" w14:textId="77777777" w:rsidR="00963419" w:rsidRDefault="00963419"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3265" w14:textId="77777777" w:rsidR="008B41E8" w:rsidRDefault="008B4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963419" w:rsidRDefault="00963419" w:rsidP="00601170">
    <w:pPr>
      <w:pStyle w:val="Header"/>
      <w:jc w:val="right"/>
    </w:pPr>
    <w:r w:rsidRPr="002D5FA8">
      <w:rPr>
        <w:noProof/>
        <w:lang w:eastAsia="en-GB"/>
      </w:rPr>
      <w:drawing>
        <wp:inline distT="0" distB="0" distL="0" distR="0" wp14:anchorId="4E70D7F5" wp14:editId="5A19A40D">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7354" w14:textId="733C1F53" w:rsidR="00963419" w:rsidRPr="00963419" w:rsidRDefault="00963419" w:rsidP="00963419">
    <w:pPr>
      <w:pStyle w:val="Header"/>
      <w:tabs>
        <w:tab w:val="clear" w:pos="4513"/>
        <w:tab w:val="clear" w:pos="9026"/>
        <w:tab w:val="left" w:pos="3180"/>
        <w:tab w:val="left" w:pos="7230"/>
      </w:tabs>
      <w:rPr>
        <w:sz w:val="20"/>
        <w:szCs w:val="20"/>
      </w:rPr>
    </w:pPr>
    <w:r>
      <w:rPr>
        <w:noProof/>
        <w:lang w:eastAsia="en-GB"/>
      </w:rPr>
      <w:drawing>
        <wp:anchor distT="0" distB="0" distL="114300" distR="114300" simplePos="0" relativeHeight="251666432" behindDoc="1" locked="0" layoutInCell="1" allowOverlap="1" wp14:anchorId="55FA4B3D" wp14:editId="53E18A50">
          <wp:simplePos x="0" y="0"/>
          <wp:positionH relativeFrom="margin">
            <wp:posOffset>-675640</wp:posOffset>
          </wp:positionH>
          <wp:positionV relativeFrom="margin">
            <wp:posOffset>-781050</wp:posOffset>
          </wp:positionV>
          <wp:extent cx="7130696" cy="107035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696" cy="10703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1CF6"/>
    <w:multiLevelType w:val="hybridMultilevel"/>
    <w:tmpl w:val="5F78D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327884"/>
    <w:multiLevelType w:val="hybridMultilevel"/>
    <w:tmpl w:val="779AF3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DE53505"/>
    <w:multiLevelType w:val="multilevel"/>
    <w:tmpl w:val="8E5245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2DB144D"/>
    <w:multiLevelType w:val="multilevel"/>
    <w:tmpl w:val="085AD278"/>
    <w:lvl w:ilvl="0">
      <w:start w:val="2"/>
      <w:numFmt w:val="decimal"/>
      <w:lvlText w:val="%1.0"/>
      <w:lvlJc w:val="left"/>
      <w:pPr>
        <w:ind w:left="643"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575C69"/>
    <w:multiLevelType w:val="hybridMultilevel"/>
    <w:tmpl w:val="F4B43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6A7498B"/>
    <w:multiLevelType w:val="hybridMultilevel"/>
    <w:tmpl w:val="2CECE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A66C04"/>
    <w:multiLevelType w:val="hybridMultilevel"/>
    <w:tmpl w:val="57689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465AFA"/>
    <w:multiLevelType w:val="hybridMultilevel"/>
    <w:tmpl w:val="E2EAB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24319F0"/>
    <w:multiLevelType w:val="hybridMultilevel"/>
    <w:tmpl w:val="72DC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0C3C13"/>
    <w:multiLevelType w:val="hybridMultilevel"/>
    <w:tmpl w:val="E4E6EBB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932FD6"/>
    <w:multiLevelType w:val="hybridMultilevel"/>
    <w:tmpl w:val="A6882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9260ED"/>
    <w:multiLevelType w:val="hybridMultilevel"/>
    <w:tmpl w:val="21589C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CC2AA5"/>
    <w:multiLevelType w:val="hybridMultilevel"/>
    <w:tmpl w:val="68AE35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92528A9"/>
    <w:multiLevelType w:val="hybridMultilevel"/>
    <w:tmpl w:val="31A6F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415EC0"/>
    <w:multiLevelType w:val="hybridMultilevel"/>
    <w:tmpl w:val="56C6792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nsid w:val="2DF0054B"/>
    <w:multiLevelType w:val="hybridMultilevel"/>
    <w:tmpl w:val="71DA4F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316B1B4F"/>
    <w:multiLevelType w:val="hybridMultilevel"/>
    <w:tmpl w:val="3A0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694213"/>
    <w:multiLevelType w:val="hybridMultilevel"/>
    <w:tmpl w:val="04BC1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6495823"/>
    <w:multiLevelType w:val="hybridMultilevel"/>
    <w:tmpl w:val="E21C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4B5F9F"/>
    <w:multiLevelType w:val="hybridMultilevel"/>
    <w:tmpl w:val="34D0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4664D5"/>
    <w:multiLevelType w:val="hybridMultilevel"/>
    <w:tmpl w:val="310A9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98302E6"/>
    <w:multiLevelType w:val="hybridMultilevel"/>
    <w:tmpl w:val="9C0AB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A2D21F9"/>
    <w:multiLevelType w:val="hybridMultilevel"/>
    <w:tmpl w:val="E6A290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3D604C01"/>
    <w:multiLevelType w:val="multilevel"/>
    <w:tmpl w:val="0950B76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F625399"/>
    <w:multiLevelType w:val="hybridMultilevel"/>
    <w:tmpl w:val="D0F4B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F6D71C4"/>
    <w:multiLevelType w:val="hybridMultilevel"/>
    <w:tmpl w:val="94F8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0CB6C3C"/>
    <w:multiLevelType w:val="hybridMultilevel"/>
    <w:tmpl w:val="1BD07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178481E"/>
    <w:multiLevelType w:val="hybridMultilevel"/>
    <w:tmpl w:val="D9AE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1FF0F07"/>
    <w:multiLevelType w:val="hybridMultilevel"/>
    <w:tmpl w:val="77BAA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42B6F2A"/>
    <w:multiLevelType w:val="hybridMultilevel"/>
    <w:tmpl w:val="C89A6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5632A67"/>
    <w:multiLevelType w:val="hybridMultilevel"/>
    <w:tmpl w:val="F846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7E1444D"/>
    <w:multiLevelType w:val="hybridMultilevel"/>
    <w:tmpl w:val="DD1CF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A39262A"/>
    <w:multiLevelType w:val="hybridMultilevel"/>
    <w:tmpl w:val="CA54A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EA3782A"/>
    <w:multiLevelType w:val="hybridMultilevel"/>
    <w:tmpl w:val="44C0F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CCE0FE5"/>
    <w:multiLevelType w:val="hybridMultilevel"/>
    <w:tmpl w:val="22C682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F882D48"/>
    <w:multiLevelType w:val="hybridMultilevel"/>
    <w:tmpl w:val="BE74DF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3783237"/>
    <w:multiLevelType w:val="hybridMultilevel"/>
    <w:tmpl w:val="50AAF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44E59D4"/>
    <w:multiLevelType w:val="hybridMultilevel"/>
    <w:tmpl w:val="E4AA0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A396674"/>
    <w:multiLevelType w:val="hybridMultilevel"/>
    <w:tmpl w:val="68143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BF44E6E"/>
    <w:multiLevelType w:val="hybridMultilevel"/>
    <w:tmpl w:val="1CBEE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2C3E2C"/>
    <w:multiLevelType w:val="hybridMultilevel"/>
    <w:tmpl w:val="16DEB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FD503EB"/>
    <w:multiLevelType w:val="hybridMultilevel"/>
    <w:tmpl w:val="2078E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0E37E17"/>
    <w:multiLevelType w:val="hybridMultilevel"/>
    <w:tmpl w:val="FF865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4982DAC"/>
    <w:multiLevelType w:val="hybridMultilevel"/>
    <w:tmpl w:val="AC9EC8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nsid w:val="798254D2"/>
    <w:multiLevelType w:val="multilevel"/>
    <w:tmpl w:val="833893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nsid w:val="7EB23F95"/>
    <w:multiLevelType w:val="multilevel"/>
    <w:tmpl w:val="F63E3B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27"/>
  </w:num>
  <w:num w:numId="3">
    <w:abstractNumId w:val="10"/>
  </w:num>
  <w:num w:numId="4">
    <w:abstractNumId w:val="42"/>
  </w:num>
  <w:num w:numId="5">
    <w:abstractNumId w:val="25"/>
  </w:num>
  <w:num w:numId="6">
    <w:abstractNumId w:val="38"/>
  </w:num>
  <w:num w:numId="7">
    <w:abstractNumId w:val="24"/>
  </w:num>
  <w:num w:numId="8">
    <w:abstractNumId w:val="23"/>
  </w:num>
  <w:num w:numId="9">
    <w:abstractNumId w:val="20"/>
  </w:num>
  <w:num w:numId="10">
    <w:abstractNumId w:val="33"/>
  </w:num>
  <w:num w:numId="11">
    <w:abstractNumId w:val="17"/>
  </w:num>
  <w:num w:numId="12">
    <w:abstractNumId w:val="28"/>
  </w:num>
  <w:num w:numId="13">
    <w:abstractNumId w:val="37"/>
  </w:num>
  <w:num w:numId="14">
    <w:abstractNumId w:val="36"/>
  </w:num>
  <w:num w:numId="15">
    <w:abstractNumId w:val="6"/>
  </w:num>
  <w:num w:numId="16">
    <w:abstractNumId w:val="31"/>
  </w:num>
  <w:num w:numId="17">
    <w:abstractNumId w:val="5"/>
  </w:num>
  <w:num w:numId="18">
    <w:abstractNumId w:val="13"/>
  </w:num>
  <w:num w:numId="19">
    <w:abstractNumId w:val="29"/>
  </w:num>
  <w:num w:numId="20">
    <w:abstractNumId w:val="12"/>
  </w:num>
  <w:num w:numId="21">
    <w:abstractNumId w:val="1"/>
  </w:num>
  <w:num w:numId="22">
    <w:abstractNumId w:val="43"/>
  </w:num>
  <w:num w:numId="23">
    <w:abstractNumId w:val="22"/>
  </w:num>
  <w:num w:numId="24">
    <w:abstractNumId w:val="4"/>
  </w:num>
  <w:num w:numId="25">
    <w:abstractNumId w:val="15"/>
  </w:num>
  <w:num w:numId="26">
    <w:abstractNumId w:val="7"/>
  </w:num>
  <w:num w:numId="27">
    <w:abstractNumId w:val="18"/>
  </w:num>
  <w:num w:numId="28">
    <w:abstractNumId w:val="19"/>
  </w:num>
  <w:num w:numId="29">
    <w:abstractNumId w:val="44"/>
  </w:num>
  <w:num w:numId="30">
    <w:abstractNumId w:val="26"/>
  </w:num>
  <w:num w:numId="31">
    <w:abstractNumId w:val="45"/>
  </w:num>
  <w:num w:numId="32">
    <w:abstractNumId w:val="0"/>
  </w:num>
  <w:num w:numId="33">
    <w:abstractNumId w:val="35"/>
  </w:num>
  <w:num w:numId="34">
    <w:abstractNumId w:val="9"/>
  </w:num>
  <w:num w:numId="35">
    <w:abstractNumId w:val="30"/>
  </w:num>
  <w:num w:numId="36">
    <w:abstractNumId w:val="32"/>
  </w:num>
  <w:num w:numId="37">
    <w:abstractNumId w:val="11"/>
  </w:num>
  <w:num w:numId="38">
    <w:abstractNumId w:val="16"/>
  </w:num>
  <w:num w:numId="39">
    <w:abstractNumId w:val="40"/>
  </w:num>
  <w:num w:numId="40">
    <w:abstractNumId w:val="14"/>
  </w:num>
  <w:num w:numId="41">
    <w:abstractNumId w:val="21"/>
  </w:num>
  <w:num w:numId="42">
    <w:abstractNumId w:val="34"/>
  </w:num>
  <w:num w:numId="43">
    <w:abstractNumId w:val="8"/>
  </w:num>
  <w:num w:numId="44">
    <w:abstractNumId w:val="39"/>
  </w:num>
  <w:num w:numId="45">
    <w:abstractNumId w:val="3"/>
  </w:num>
  <w:num w:numId="46">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7624D"/>
    <w:rsid w:val="00091758"/>
    <w:rsid w:val="000D1055"/>
    <w:rsid w:val="000E6C98"/>
    <w:rsid w:val="00155C96"/>
    <w:rsid w:val="001C2BD3"/>
    <w:rsid w:val="0025559F"/>
    <w:rsid w:val="002D7949"/>
    <w:rsid w:val="00327819"/>
    <w:rsid w:val="003A1E1A"/>
    <w:rsid w:val="003A25F0"/>
    <w:rsid w:val="003E1579"/>
    <w:rsid w:val="003F7149"/>
    <w:rsid w:val="004002AF"/>
    <w:rsid w:val="004F7BC2"/>
    <w:rsid w:val="00500067"/>
    <w:rsid w:val="0055769C"/>
    <w:rsid w:val="005F63BB"/>
    <w:rsid w:val="00601170"/>
    <w:rsid w:val="00617E26"/>
    <w:rsid w:val="0065797A"/>
    <w:rsid w:val="00660076"/>
    <w:rsid w:val="00733A9F"/>
    <w:rsid w:val="008340C4"/>
    <w:rsid w:val="00846A25"/>
    <w:rsid w:val="00862749"/>
    <w:rsid w:val="008B41E8"/>
    <w:rsid w:val="00912F71"/>
    <w:rsid w:val="00927C34"/>
    <w:rsid w:val="00963419"/>
    <w:rsid w:val="00973D8D"/>
    <w:rsid w:val="009B4572"/>
    <w:rsid w:val="009C7413"/>
    <w:rsid w:val="00A333AB"/>
    <w:rsid w:val="00A82AC8"/>
    <w:rsid w:val="00A9544D"/>
    <w:rsid w:val="00AC56BC"/>
    <w:rsid w:val="00AE3D58"/>
    <w:rsid w:val="00B066C5"/>
    <w:rsid w:val="00B4475E"/>
    <w:rsid w:val="00BF0F26"/>
    <w:rsid w:val="00C5416A"/>
    <w:rsid w:val="00C8031D"/>
    <w:rsid w:val="00D013BD"/>
    <w:rsid w:val="00DE20F9"/>
    <w:rsid w:val="00E93751"/>
    <w:rsid w:val="00ED6717"/>
    <w:rsid w:val="00EF47CD"/>
    <w:rsid w:val="00F420DA"/>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docId w15:val="{026361FA-75B8-47FA-AF4F-FA4C654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170"/>
    <w:rPr>
      <w:sz w:val="16"/>
      <w:szCs w:val="16"/>
    </w:rPr>
  </w:style>
  <w:style w:type="paragraph" w:styleId="CommentText">
    <w:name w:val="annotation text"/>
    <w:basedOn w:val="Normal"/>
    <w:link w:val="CommentTextChar"/>
    <w:uiPriority w:val="99"/>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paragraph" w:styleId="CommentSubject">
    <w:name w:val="annotation subject"/>
    <w:basedOn w:val="CommentText"/>
    <w:next w:val="CommentText"/>
    <w:link w:val="CommentSubjectChar"/>
    <w:uiPriority w:val="99"/>
    <w:semiHidden/>
    <w:unhideWhenUsed/>
    <w:rsid w:val="00912F71"/>
    <w:rPr>
      <w:b/>
      <w:bCs/>
    </w:rPr>
  </w:style>
  <w:style w:type="character" w:customStyle="1" w:styleId="CommentSubjectChar">
    <w:name w:val="Comment Subject Char"/>
    <w:basedOn w:val="CommentTextChar"/>
    <w:link w:val="CommentSubject"/>
    <w:uiPriority w:val="99"/>
    <w:semiHidden/>
    <w:rsid w:val="00912F71"/>
    <w:rPr>
      <w:b/>
      <w:bCs/>
      <w:sz w:val="20"/>
      <w:szCs w:val="20"/>
    </w:rPr>
  </w:style>
  <w:style w:type="character" w:styleId="Hyperlink">
    <w:name w:val="Hyperlink"/>
    <w:basedOn w:val="DefaultParagraphFont"/>
    <w:uiPriority w:val="99"/>
    <w:unhideWhenUsed/>
    <w:rsid w:val="00C5416A"/>
    <w:rPr>
      <w:strike w:val="0"/>
      <w:dstrike w:val="0"/>
      <w:color w:val="1063A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home-office-launches-child-abuse-whistleblowing-help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nspcc.org.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E725-9321-4C40-9A24-FE944ED9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C4D3D123</Template>
  <TotalTime>6</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Gregory</dc:creator>
  <cp:lastModifiedBy>Kate Tague</cp:lastModifiedBy>
  <cp:revision>5</cp:revision>
  <cp:lastPrinted>2016-07-11T09:02:00Z</cp:lastPrinted>
  <dcterms:created xsi:type="dcterms:W3CDTF">2016-10-05T12:09:00Z</dcterms:created>
  <dcterms:modified xsi:type="dcterms:W3CDTF">2017-02-10T16:27:00Z</dcterms:modified>
</cp:coreProperties>
</file>